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89" w:rsidRDefault="000949DD" w:rsidP="00145679">
      <w:pPr>
        <w:spacing w:after="0"/>
        <w:jc w:val="center"/>
        <w:rPr>
          <w:b/>
          <w:sz w:val="28"/>
          <w:szCs w:val="28"/>
        </w:rPr>
      </w:pPr>
      <w:r w:rsidRPr="000A5FC9">
        <w:rPr>
          <w:b/>
          <w:sz w:val="28"/>
          <w:szCs w:val="28"/>
        </w:rPr>
        <w:t>Use and Finance Bi-Annual Report</w:t>
      </w:r>
      <w:r w:rsidR="005F4C9E">
        <w:rPr>
          <w:b/>
          <w:sz w:val="28"/>
          <w:szCs w:val="28"/>
        </w:rPr>
        <w:t>ing Form</w:t>
      </w:r>
    </w:p>
    <w:p w:rsidR="00145679" w:rsidRPr="000A5FC9" w:rsidRDefault="00145679" w:rsidP="00145679">
      <w:pPr>
        <w:spacing w:after="0"/>
        <w:jc w:val="center"/>
        <w:rPr>
          <w:b/>
          <w:sz w:val="28"/>
          <w:szCs w:val="28"/>
        </w:rPr>
      </w:pPr>
    </w:p>
    <w:p w:rsidR="000949DD" w:rsidRDefault="00514DCD" w:rsidP="0016026C">
      <w:pPr>
        <w:tabs>
          <w:tab w:val="left" w:pos="3150"/>
        </w:tabs>
        <w:spacing w:after="0"/>
        <w:rPr>
          <w:b/>
          <w:sz w:val="24"/>
          <w:szCs w:val="24"/>
          <w:u w:val="single"/>
        </w:rPr>
      </w:pPr>
      <w:r>
        <w:rPr>
          <w:b/>
          <w:sz w:val="24"/>
          <w:szCs w:val="24"/>
        </w:rPr>
        <w:t>Reporting Period</w:t>
      </w:r>
      <w:r w:rsidR="0016026C">
        <w:rPr>
          <w:b/>
          <w:sz w:val="24"/>
          <w:szCs w:val="24"/>
        </w:rPr>
        <w:t xml:space="preserve"> (check one)</w:t>
      </w:r>
      <w:r w:rsidR="00145679">
        <w:rPr>
          <w:b/>
          <w:sz w:val="24"/>
          <w:szCs w:val="24"/>
        </w:rPr>
        <w:t>:</w:t>
      </w:r>
      <w:r w:rsidR="002004F0">
        <w:rPr>
          <w:b/>
          <w:sz w:val="24"/>
          <w:szCs w:val="24"/>
        </w:rPr>
        <w:tab/>
      </w:r>
      <w:r w:rsidR="001A6737" w:rsidRPr="001A6737">
        <w:rPr>
          <w:b/>
          <w:sz w:val="28"/>
          <w:szCs w:val="24"/>
        </w:rPr>
        <w:sym w:font="Wingdings" w:char="F0A8"/>
      </w:r>
      <w:r w:rsidR="001A6737" w:rsidRPr="001A6737">
        <w:rPr>
          <w:b/>
          <w:sz w:val="32"/>
          <w:szCs w:val="24"/>
        </w:rPr>
        <w:t xml:space="preserve"> </w:t>
      </w:r>
      <w:r w:rsidR="001A6737">
        <w:rPr>
          <w:b/>
          <w:sz w:val="24"/>
          <w:szCs w:val="24"/>
        </w:rPr>
        <w:tab/>
      </w:r>
      <w:r w:rsidR="008C7B3B" w:rsidRPr="008C7B3B">
        <w:rPr>
          <w:b/>
          <w:sz w:val="24"/>
          <w:szCs w:val="24"/>
          <w:u w:val="single"/>
        </w:rPr>
        <w:t>January</w:t>
      </w:r>
      <w:r w:rsidR="00145679" w:rsidRPr="008C7B3B">
        <w:rPr>
          <w:b/>
          <w:sz w:val="24"/>
          <w:szCs w:val="24"/>
          <w:u w:val="single"/>
        </w:rPr>
        <w:t xml:space="preserve"> </w:t>
      </w:r>
      <w:r w:rsidR="008C7B3B">
        <w:rPr>
          <w:b/>
          <w:sz w:val="24"/>
          <w:szCs w:val="24"/>
          <w:u w:val="single"/>
        </w:rPr>
        <w:t xml:space="preserve">1, </w:t>
      </w:r>
      <w:r w:rsidR="00145679" w:rsidRPr="00145679">
        <w:rPr>
          <w:b/>
          <w:sz w:val="24"/>
          <w:szCs w:val="24"/>
          <w:u w:val="single"/>
        </w:rPr>
        <w:t>201</w:t>
      </w:r>
      <w:r w:rsidR="009D4997">
        <w:rPr>
          <w:b/>
          <w:sz w:val="24"/>
          <w:szCs w:val="24"/>
          <w:u w:val="single"/>
        </w:rPr>
        <w:t>8</w:t>
      </w:r>
      <w:r w:rsidR="00145679" w:rsidRPr="00145679">
        <w:rPr>
          <w:b/>
          <w:sz w:val="24"/>
          <w:szCs w:val="24"/>
          <w:u w:val="single"/>
        </w:rPr>
        <w:t xml:space="preserve"> through </w:t>
      </w:r>
      <w:r w:rsidR="008C7B3B">
        <w:rPr>
          <w:b/>
          <w:sz w:val="24"/>
          <w:szCs w:val="24"/>
          <w:u w:val="single"/>
        </w:rPr>
        <w:t>June 30,</w:t>
      </w:r>
      <w:r w:rsidR="00145679" w:rsidRPr="00145679">
        <w:rPr>
          <w:b/>
          <w:sz w:val="24"/>
          <w:szCs w:val="24"/>
          <w:u w:val="single"/>
        </w:rPr>
        <w:t xml:space="preserve"> 201</w:t>
      </w:r>
      <w:r w:rsidR="009D4997">
        <w:rPr>
          <w:b/>
          <w:sz w:val="24"/>
          <w:szCs w:val="24"/>
          <w:u w:val="single"/>
        </w:rPr>
        <w:t>8</w:t>
      </w:r>
    </w:p>
    <w:p w:rsidR="0016026C" w:rsidRPr="00FC5526" w:rsidRDefault="0016026C" w:rsidP="0016026C">
      <w:pPr>
        <w:tabs>
          <w:tab w:val="left" w:pos="3150"/>
        </w:tabs>
        <w:spacing w:after="0"/>
        <w:rPr>
          <w:b/>
          <w:sz w:val="24"/>
          <w:szCs w:val="24"/>
        </w:rPr>
      </w:pPr>
      <w:r>
        <w:rPr>
          <w:b/>
          <w:sz w:val="24"/>
          <w:szCs w:val="24"/>
        </w:rPr>
        <w:tab/>
      </w:r>
      <w:r w:rsidR="001A6737" w:rsidRPr="00521599">
        <w:rPr>
          <w:rFonts w:ascii="Cambria Math" w:hAnsi="Cambria Math" w:cs="Cambria Math"/>
          <w:b/>
          <w:sz w:val="32"/>
          <w:szCs w:val="24"/>
        </w:rPr>
        <w:t>⌧</w:t>
      </w:r>
      <w:r w:rsidR="001A6737">
        <w:rPr>
          <w:rFonts w:ascii="Cambria Math" w:hAnsi="Cambria Math" w:cs="Cambria Math"/>
          <w:b/>
          <w:sz w:val="32"/>
          <w:szCs w:val="24"/>
        </w:rPr>
        <w:t xml:space="preserve">  </w:t>
      </w:r>
      <w:r w:rsidRPr="008C7B3B">
        <w:rPr>
          <w:b/>
          <w:sz w:val="24"/>
          <w:szCs w:val="24"/>
          <w:u w:val="single"/>
        </w:rPr>
        <w:t>J</w:t>
      </w:r>
      <w:r>
        <w:rPr>
          <w:b/>
          <w:sz w:val="24"/>
          <w:szCs w:val="24"/>
          <w:u w:val="single"/>
        </w:rPr>
        <w:t>uly</w:t>
      </w:r>
      <w:r w:rsidRPr="008C7B3B">
        <w:rPr>
          <w:b/>
          <w:sz w:val="24"/>
          <w:szCs w:val="24"/>
          <w:u w:val="single"/>
        </w:rPr>
        <w:t xml:space="preserve"> </w:t>
      </w:r>
      <w:r>
        <w:rPr>
          <w:b/>
          <w:sz w:val="24"/>
          <w:szCs w:val="24"/>
          <w:u w:val="single"/>
        </w:rPr>
        <w:t xml:space="preserve">1, </w:t>
      </w:r>
      <w:r w:rsidRPr="00145679">
        <w:rPr>
          <w:b/>
          <w:sz w:val="24"/>
          <w:szCs w:val="24"/>
          <w:u w:val="single"/>
        </w:rPr>
        <w:t>201</w:t>
      </w:r>
      <w:r w:rsidR="009D4997">
        <w:rPr>
          <w:b/>
          <w:sz w:val="24"/>
          <w:szCs w:val="24"/>
          <w:u w:val="single"/>
        </w:rPr>
        <w:t>8</w:t>
      </w:r>
      <w:r w:rsidR="00C4618E">
        <w:rPr>
          <w:b/>
          <w:sz w:val="24"/>
          <w:szCs w:val="24"/>
          <w:u w:val="single"/>
        </w:rPr>
        <w:t xml:space="preserve"> </w:t>
      </w:r>
      <w:r w:rsidRPr="00145679">
        <w:rPr>
          <w:b/>
          <w:sz w:val="24"/>
          <w:szCs w:val="24"/>
          <w:u w:val="single"/>
        </w:rPr>
        <w:t xml:space="preserve">through </w:t>
      </w:r>
      <w:r>
        <w:rPr>
          <w:b/>
          <w:sz w:val="24"/>
          <w:szCs w:val="24"/>
          <w:u w:val="single"/>
        </w:rPr>
        <w:t>December 31,</w:t>
      </w:r>
      <w:r w:rsidRPr="00145679">
        <w:rPr>
          <w:b/>
          <w:sz w:val="24"/>
          <w:szCs w:val="24"/>
          <w:u w:val="single"/>
        </w:rPr>
        <w:t xml:space="preserve"> 201</w:t>
      </w:r>
      <w:r w:rsidR="009D4997">
        <w:rPr>
          <w:b/>
          <w:sz w:val="24"/>
          <w:szCs w:val="24"/>
          <w:u w:val="single"/>
        </w:rPr>
        <w:t>8</w:t>
      </w:r>
    </w:p>
    <w:p w:rsidR="00F94DEC" w:rsidRDefault="00F94DEC" w:rsidP="000949DD">
      <w:pPr>
        <w:spacing w:after="0"/>
        <w:rPr>
          <w:b/>
          <w:sz w:val="24"/>
          <w:szCs w:val="24"/>
        </w:rPr>
      </w:pPr>
    </w:p>
    <w:p w:rsidR="000949DD" w:rsidRPr="005F4C9E" w:rsidRDefault="005F4C9E" w:rsidP="000949DD">
      <w:pPr>
        <w:spacing w:after="0"/>
        <w:rPr>
          <w:b/>
          <w:sz w:val="24"/>
          <w:szCs w:val="24"/>
        </w:rPr>
      </w:pPr>
      <w:r w:rsidRPr="005F4C9E">
        <w:rPr>
          <w:b/>
          <w:sz w:val="24"/>
          <w:szCs w:val="24"/>
        </w:rPr>
        <w:t>University/Colleg</w:t>
      </w:r>
      <w:r w:rsidR="00145679">
        <w:rPr>
          <w:b/>
          <w:sz w:val="24"/>
          <w:szCs w:val="24"/>
        </w:rPr>
        <w:t xml:space="preserve">e:  </w:t>
      </w:r>
      <w:r w:rsidR="002004F0">
        <w:rPr>
          <w:b/>
          <w:sz w:val="24"/>
          <w:szCs w:val="24"/>
        </w:rPr>
        <w:t>Lake Superior State University</w:t>
      </w:r>
    </w:p>
    <w:p w:rsidR="005F4C9E" w:rsidRDefault="004515B4" w:rsidP="000949DD">
      <w:pPr>
        <w:spacing w:after="0"/>
        <w:rPr>
          <w:b/>
          <w:sz w:val="24"/>
          <w:szCs w:val="24"/>
        </w:rPr>
      </w:pPr>
      <w:r>
        <w:rPr>
          <w:b/>
          <w:sz w:val="24"/>
          <w:szCs w:val="24"/>
        </w:rPr>
        <w:t>Number of</w:t>
      </w:r>
      <w:r w:rsidR="00705C8B" w:rsidRPr="00705C8B">
        <w:rPr>
          <w:b/>
          <w:sz w:val="24"/>
          <w:szCs w:val="24"/>
        </w:rPr>
        <w:t xml:space="preserve"> Projects to Report</w:t>
      </w:r>
      <w:r>
        <w:rPr>
          <w:b/>
          <w:sz w:val="24"/>
          <w:szCs w:val="24"/>
        </w:rPr>
        <w:t xml:space="preserve">:   </w:t>
      </w:r>
      <w:r w:rsidR="00F94DEC">
        <w:rPr>
          <w:b/>
          <w:sz w:val="24"/>
          <w:szCs w:val="24"/>
        </w:rPr>
        <w:t>1</w:t>
      </w:r>
    </w:p>
    <w:p w:rsidR="009028AA" w:rsidRPr="00705C8B" w:rsidRDefault="009028AA" w:rsidP="000949DD">
      <w:pPr>
        <w:spacing w:after="0"/>
        <w:rPr>
          <w:b/>
          <w:sz w:val="24"/>
          <w:szCs w:val="24"/>
        </w:rPr>
      </w:pPr>
      <w:r>
        <w:rPr>
          <w:b/>
          <w:sz w:val="24"/>
          <w:szCs w:val="24"/>
        </w:rPr>
        <w:t>Estimated Impact on Tuition and Fee Rates:</w:t>
      </w:r>
      <w:r>
        <w:rPr>
          <w:rStyle w:val="FootnoteReference"/>
          <w:b/>
          <w:sz w:val="24"/>
          <w:szCs w:val="24"/>
        </w:rPr>
        <w:footnoteReference w:id="1"/>
      </w:r>
      <w:r>
        <w:rPr>
          <w:b/>
          <w:sz w:val="24"/>
          <w:szCs w:val="24"/>
        </w:rPr>
        <w:t xml:space="preserve">  </w:t>
      </w:r>
      <w:r w:rsidR="002004F0">
        <w:rPr>
          <w:b/>
          <w:sz w:val="24"/>
          <w:szCs w:val="24"/>
        </w:rPr>
        <w:t>$0.00</w:t>
      </w:r>
    </w:p>
    <w:p w:rsidR="00705C8B" w:rsidRPr="005F4C9E" w:rsidRDefault="00705C8B" w:rsidP="000949DD">
      <w:pPr>
        <w:spacing w:after="0"/>
        <w:rPr>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050"/>
        <w:gridCol w:w="1777"/>
        <w:gridCol w:w="3960"/>
        <w:gridCol w:w="2903"/>
      </w:tblGrid>
      <w:tr w:rsidR="00DF0C3D" w:rsidTr="004479D7">
        <w:trPr>
          <w:tblHeader/>
        </w:trPr>
        <w:tc>
          <w:tcPr>
            <w:tcW w:w="378" w:type="dxa"/>
            <w:shd w:val="clear" w:color="auto" w:fill="D9D9D9"/>
          </w:tcPr>
          <w:p w:rsidR="00DF0C3D" w:rsidRPr="00FC5526" w:rsidRDefault="00DF0C3D" w:rsidP="005F4C9E">
            <w:pPr>
              <w:spacing w:after="0"/>
              <w:jc w:val="center"/>
              <w:rPr>
                <w:b/>
              </w:rPr>
            </w:pPr>
          </w:p>
        </w:tc>
        <w:tc>
          <w:tcPr>
            <w:tcW w:w="4050" w:type="dxa"/>
            <w:shd w:val="clear" w:color="auto" w:fill="D9D9D9"/>
            <w:vAlign w:val="bottom"/>
          </w:tcPr>
          <w:p w:rsidR="00DF0C3D" w:rsidRPr="00FC5526" w:rsidRDefault="00DF0C3D" w:rsidP="005F4C9E">
            <w:pPr>
              <w:spacing w:after="0"/>
              <w:jc w:val="center"/>
              <w:rPr>
                <w:b/>
              </w:rPr>
            </w:pPr>
            <w:r w:rsidRPr="00FC5526">
              <w:rPr>
                <w:b/>
              </w:rPr>
              <w:t>Project Description</w:t>
            </w:r>
          </w:p>
        </w:tc>
        <w:tc>
          <w:tcPr>
            <w:tcW w:w="1777" w:type="dxa"/>
            <w:shd w:val="clear" w:color="auto" w:fill="D9D9D9"/>
            <w:vAlign w:val="bottom"/>
          </w:tcPr>
          <w:p w:rsidR="00DF0C3D" w:rsidRPr="00FC5526" w:rsidRDefault="00DF0C3D" w:rsidP="004515B4">
            <w:pPr>
              <w:spacing w:after="0"/>
              <w:jc w:val="center"/>
              <w:rPr>
                <w:b/>
              </w:rPr>
            </w:pPr>
            <w:r>
              <w:rPr>
                <w:b/>
              </w:rPr>
              <w:t>Project Timeline</w:t>
            </w:r>
          </w:p>
        </w:tc>
        <w:tc>
          <w:tcPr>
            <w:tcW w:w="3960" w:type="dxa"/>
            <w:shd w:val="clear" w:color="auto" w:fill="D9D9D9"/>
            <w:vAlign w:val="bottom"/>
          </w:tcPr>
          <w:p w:rsidR="00DF0C3D" w:rsidRPr="00FC5526" w:rsidRDefault="00DF0C3D" w:rsidP="00AF1F34">
            <w:pPr>
              <w:spacing w:after="0"/>
              <w:jc w:val="center"/>
              <w:rPr>
                <w:b/>
              </w:rPr>
            </w:pPr>
            <w:r w:rsidRPr="00FC5526">
              <w:rPr>
                <w:b/>
              </w:rPr>
              <w:t>Project Costs</w:t>
            </w:r>
          </w:p>
        </w:tc>
        <w:tc>
          <w:tcPr>
            <w:tcW w:w="2903" w:type="dxa"/>
            <w:shd w:val="clear" w:color="auto" w:fill="D9D9D9"/>
            <w:vAlign w:val="bottom"/>
          </w:tcPr>
          <w:p w:rsidR="00DF0C3D" w:rsidRPr="00FC5526" w:rsidRDefault="00DF0C3D" w:rsidP="005F4C9E">
            <w:pPr>
              <w:spacing w:after="0"/>
              <w:jc w:val="center"/>
              <w:rPr>
                <w:b/>
              </w:rPr>
            </w:pPr>
            <w:r w:rsidRPr="00FC5526">
              <w:rPr>
                <w:b/>
              </w:rPr>
              <w:t>Funding Source</w:t>
            </w:r>
            <w:r>
              <w:rPr>
                <w:b/>
              </w:rPr>
              <w:t>s</w:t>
            </w:r>
          </w:p>
        </w:tc>
      </w:tr>
      <w:tr w:rsidR="00B121A8" w:rsidTr="004479D7">
        <w:tc>
          <w:tcPr>
            <w:tcW w:w="378" w:type="dxa"/>
          </w:tcPr>
          <w:p w:rsidR="00B121A8" w:rsidRDefault="00B121A8" w:rsidP="00720576">
            <w:pPr>
              <w:pStyle w:val="ListParagraph"/>
              <w:numPr>
                <w:ilvl w:val="0"/>
                <w:numId w:val="2"/>
              </w:numPr>
              <w:spacing w:after="0"/>
            </w:pPr>
          </w:p>
        </w:tc>
        <w:tc>
          <w:tcPr>
            <w:tcW w:w="4050" w:type="dxa"/>
            <w:shd w:val="clear" w:color="auto" w:fill="auto"/>
          </w:tcPr>
          <w:p w:rsidR="001F6C4E" w:rsidRPr="006410E0" w:rsidRDefault="001F6C4E" w:rsidP="001F6C4E">
            <w:pPr>
              <w:pStyle w:val="NormalWeb"/>
              <w:shd w:val="clear" w:color="auto" w:fill="FFFFFF"/>
              <w:spacing w:before="204" w:after="204"/>
              <w:textAlignment w:val="baseline"/>
              <w:rPr>
                <w:color w:val="2B2B2B"/>
                <w:sz w:val="20"/>
                <w:szCs w:val="20"/>
              </w:rPr>
            </w:pPr>
            <w:r w:rsidRPr="006410E0">
              <w:rPr>
                <w:color w:val="2B2B2B"/>
                <w:sz w:val="20"/>
                <w:szCs w:val="20"/>
              </w:rPr>
              <w:t>Lake Superior State University and Milwaukee-based Johnson Controls have begun a $23.6 million infrastructure upgrade that will improve safety, security and sustainability, and install a more robust wireless IT network across LSSU’s 115-acre campus. The project includes lighting and water retrofits, building wide systems integration, modernized heating and cooling controls, improved building envelopes, and integrated fire, safety, and security solutions.</w:t>
            </w:r>
          </w:p>
          <w:p w:rsidR="001F6C4E" w:rsidRPr="006410E0" w:rsidRDefault="001F6C4E" w:rsidP="001F6C4E">
            <w:pPr>
              <w:pStyle w:val="NormalWeb"/>
              <w:shd w:val="clear" w:color="auto" w:fill="FFFFFF"/>
              <w:spacing w:before="204" w:after="204"/>
              <w:textAlignment w:val="baseline"/>
              <w:rPr>
                <w:color w:val="2B2B2B"/>
                <w:sz w:val="20"/>
                <w:szCs w:val="20"/>
              </w:rPr>
            </w:pPr>
            <w:r w:rsidRPr="006410E0">
              <w:rPr>
                <w:color w:val="2B2B2B"/>
                <w:sz w:val="20"/>
                <w:szCs w:val="20"/>
              </w:rPr>
              <w:t xml:space="preserve">University and corporate officials </w:t>
            </w:r>
            <w:r w:rsidR="00F94DEC">
              <w:rPr>
                <w:color w:val="2B2B2B"/>
                <w:sz w:val="20"/>
                <w:szCs w:val="20"/>
              </w:rPr>
              <w:t>formally kicked off the project in a campus-wide ceremony on July 25</w:t>
            </w:r>
            <w:r w:rsidR="00F94DEC" w:rsidRPr="00F94DEC">
              <w:rPr>
                <w:color w:val="2B2B2B"/>
                <w:sz w:val="20"/>
                <w:szCs w:val="20"/>
                <w:vertAlign w:val="superscript"/>
              </w:rPr>
              <w:t>th</w:t>
            </w:r>
            <w:r w:rsidR="00F94DEC">
              <w:rPr>
                <w:color w:val="2B2B2B"/>
                <w:sz w:val="20"/>
                <w:szCs w:val="20"/>
              </w:rPr>
              <w:t>.</w:t>
            </w:r>
            <w:r w:rsidRPr="006410E0">
              <w:rPr>
                <w:color w:val="2B2B2B"/>
                <w:sz w:val="20"/>
                <w:szCs w:val="20"/>
              </w:rPr>
              <w:t xml:space="preserve"> The 30-year performance contract will address many needs on campus. We are taking a very progressive, </w:t>
            </w:r>
            <w:r w:rsidRPr="006410E0">
              <w:rPr>
                <w:color w:val="2B2B2B"/>
                <w:sz w:val="20"/>
                <w:szCs w:val="20"/>
              </w:rPr>
              <w:lastRenderedPageBreak/>
              <w:t>proactive approach toward our deferred maintenance issues.</w:t>
            </w:r>
          </w:p>
          <w:p w:rsidR="001F6C4E" w:rsidRPr="006410E0" w:rsidRDefault="001F6C4E" w:rsidP="001F6C4E">
            <w:pPr>
              <w:pStyle w:val="NormalWeb"/>
              <w:shd w:val="clear" w:color="auto" w:fill="FFFFFF"/>
              <w:spacing w:before="204" w:after="204"/>
              <w:textAlignment w:val="baseline"/>
              <w:rPr>
                <w:color w:val="2B2B2B"/>
                <w:sz w:val="20"/>
                <w:szCs w:val="20"/>
              </w:rPr>
            </w:pPr>
            <w:r w:rsidRPr="006410E0">
              <w:rPr>
                <w:color w:val="2B2B2B"/>
                <w:sz w:val="20"/>
                <w:szCs w:val="20"/>
              </w:rPr>
              <w:t>With the performance contract in place, LSSU will be able to realize energy savings over many years and have the ability to track these savings. In addition, these kinds of sustainability efforts have the potential to make a positive impact on the development of curriculum at the university, student projects, and the contribution to environmental sustainability overall throughout the region.</w:t>
            </w:r>
          </w:p>
          <w:p w:rsidR="001F6C4E" w:rsidRPr="006410E0" w:rsidRDefault="001F6C4E" w:rsidP="001F6C4E">
            <w:pPr>
              <w:pStyle w:val="NormalWeb"/>
              <w:shd w:val="clear" w:color="auto" w:fill="FFFFFF"/>
              <w:spacing w:before="204" w:after="204"/>
              <w:textAlignment w:val="baseline"/>
              <w:rPr>
                <w:color w:val="2B2B2B"/>
                <w:sz w:val="20"/>
                <w:szCs w:val="20"/>
              </w:rPr>
            </w:pPr>
            <w:r w:rsidRPr="006410E0">
              <w:rPr>
                <w:color w:val="2B2B2B"/>
                <w:sz w:val="20"/>
                <w:szCs w:val="20"/>
              </w:rPr>
              <w:t>Through a long-term performance contract, the project is expected to generate $71 million in energy and operational savings over the course of 30 years. Savings generated by the project are expected to provide the revenue for the bond payments. Upgrades throughout the 41-building campus are expected to be completed by January 2020.</w:t>
            </w:r>
          </w:p>
          <w:p w:rsidR="00B121A8" w:rsidRPr="00F94DEC" w:rsidRDefault="001F6C4E" w:rsidP="00F94DEC">
            <w:pPr>
              <w:pStyle w:val="NormalWeb"/>
              <w:shd w:val="clear" w:color="auto" w:fill="FFFFFF"/>
              <w:spacing w:before="204" w:beforeAutospacing="0" w:after="204" w:afterAutospacing="0"/>
              <w:textAlignment w:val="baseline"/>
              <w:rPr>
                <w:color w:val="2B2B2B"/>
                <w:sz w:val="20"/>
                <w:szCs w:val="20"/>
              </w:rPr>
            </w:pPr>
            <w:r w:rsidRPr="006410E0">
              <w:rPr>
                <w:color w:val="2B2B2B"/>
                <w:sz w:val="20"/>
                <w:szCs w:val="20"/>
              </w:rPr>
              <w:t>Building on a 30-year partnership between Johnson Controls and the university, including a $5.3 million project in 2001, this initiative will help LSSU engage current and prospective students and faculty with modernized infrastructure while upgrading critical facilities and addressing deferred maintenance across the campus.</w:t>
            </w:r>
            <w:bookmarkStart w:id="0" w:name="_GoBack"/>
            <w:bookmarkEnd w:id="0"/>
          </w:p>
        </w:tc>
        <w:tc>
          <w:tcPr>
            <w:tcW w:w="1777" w:type="dxa"/>
            <w:shd w:val="clear" w:color="auto" w:fill="auto"/>
          </w:tcPr>
          <w:p w:rsidR="001F6C4E" w:rsidRDefault="001F6C4E" w:rsidP="001F6C4E">
            <w:pPr>
              <w:spacing w:after="0"/>
            </w:pPr>
            <w:r>
              <w:lastRenderedPageBreak/>
              <w:t xml:space="preserve">Start Date: </w:t>
            </w:r>
          </w:p>
          <w:p w:rsidR="001F6C4E" w:rsidRDefault="001F6C4E" w:rsidP="001F6C4E">
            <w:pPr>
              <w:spacing w:after="0"/>
            </w:pPr>
            <w:r>
              <w:t>August 2018</w:t>
            </w:r>
          </w:p>
          <w:p w:rsidR="001F6C4E" w:rsidRDefault="001F6C4E" w:rsidP="001F6C4E">
            <w:pPr>
              <w:spacing w:after="0"/>
            </w:pPr>
          </w:p>
          <w:p w:rsidR="001F6C4E" w:rsidRDefault="001F6C4E" w:rsidP="001F6C4E">
            <w:pPr>
              <w:spacing w:after="0"/>
            </w:pPr>
            <w:r>
              <w:t xml:space="preserve">Completion: </w:t>
            </w:r>
          </w:p>
          <w:p w:rsidR="00B121A8" w:rsidRDefault="001F6C4E" w:rsidP="001F6C4E">
            <w:pPr>
              <w:spacing w:after="0"/>
            </w:pPr>
            <w:r>
              <w:t>January 2020</w:t>
            </w:r>
          </w:p>
        </w:tc>
        <w:tc>
          <w:tcPr>
            <w:tcW w:w="3960" w:type="dxa"/>
            <w:shd w:val="clear" w:color="auto" w:fill="auto"/>
          </w:tcPr>
          <w:p w:rsidR="00B121A8" w:rsidRDefault="00B121A8" w:rsidP="004479D7">
            <w:pPr>
              <w:tabs>
                <w:tab w:val="right" w:pos="3744"/>
              </w:tabs>
              <w:spacing w:after="0"/>
            </w:pPr>
            <w:r>
              <w:t>Property Acquisition</w:t>
            </w:r>
            <w:r>
              <w:tab/>
            </w:r>
            <w:r w:rsidR="001F6C4E">
              <w:t>$ 0</w:t>
            </w:r>
          </w:p>
          <w:p w:rsidR="00B121A8" w:rsidRDefault="00B121A8" w:rsidP="004479D7">
            <w:pPr>
              <w:tabs>
                <w:tab w:val="right" w:pos="3744"/>
              </w:tabs>
              <w:spacing w:after="0"/>
            </w:pPr>
            <w:r>
              <w:t>Remodeling</w:t>
            </w:r>
            <w:r>
              <w:tab/>
            </w:r>
            <w:r w:rsidR="001F6C4E">
              <w:t>$ 0</w:t>
            </w:r>
          </w:p>
          <w:p w:rsidR="00B121A8" w:rsidRDefault="00B121A8" w:rsidP="004479D7">
            <w:pPr>
              <w:tabs>
                <w:tab w:val="right" w:pos="3744"/>
              </w:tabs>
              <w:spacing w:after="0"/>
            </w:pPr>
            <w:r>
              <w:t>Additions</w:t>
            </w:r>
            <w:r>
              <w:tab/>
            </w:r>
            <w:r w:rsidR="001F6C4E">
              <w:t>$ 0</w:t>
            </w:r>
          </w:p>
          <w:p w:rsidR="00B121A8" w:rsidRDefault="00B121A8" w:rsidP="004479D7">
            <w:pPr>
              <w:tabs>
                <w:tab w:val="right" w:pos="3744"/>
              </w:tabs>
              <w:spacing w:after="0"/>
            </w:pPr>
            <w:r>
              <w:t>Landscaping/Roads</w:t>
            </w:r>
            <w:r>
              <w:tab/>
            </w:r>
            <w:r w:rsidR="001F6C4E">
              <w:t>$ 0</w:t>
            </w:r>
          </w:p>
          <w:p w:rsidR="00B121A8" w:rsidRDefault="00B121A8" w:rsidP="004479D7">
            <w:pPr>
              <w:tabs>
                <w:tab w:val="right" w:pos="3744"/>
              </w:tabs>
              <w:spacing w:after="0"/>
            </w:pPr>
            <w:r>
              <w:t>Equipment</w:t>
            </w:r>
            <w:r>
              <w:tab/>
            </w:r>
            <w:r w:rsidR="001F6C4E">
              <w:t>$ 0</w:t>
            </w:r>
          </w:p>
          <w:p w:rsidR="00B121A8" w:rsidRDefault="004479D7" w:rsidP="004479D7">
            <w:pPr>
              <w:tabs>
                <w:tab w:val="right" w:pos="3744"/>
              </w:tabs>
              <w:spacing w:after="0"/>
            </w:pPr>
            <w:r>
              <w:rPr>
                <w:u w:val="single"/>
              </w:rPr>
              <w:t>Energy Savings Upgrades</w:t>
            </w:r>
            <w:r w:rsidR="00B121A8" w:rsidRPr="00E74A08">
              <w:rPr>
                <w:u w:val="single"/>
              </w:rPr>
              <w:tab/>
            </w:r>
            <w:r w:rsidR="001F6C4E" w:rsidRPr="001F6C4E">
              <w:rPr>
                <w:u w:val="single"/>
              </w:rPr>
              <w:t>$ 2</w:t>
            </w:r>
            <w:r w:rsidR="00E74A08">
              <w:rPr>
                <w:u w:val="single"/>
              </w:rPr>
              <w:t>3,6</w:t>
            </w:r>
            <w:r w:rsidR="001F6C4E" w:rsidRPr="001F6C4E">
              <w:rPr>
                <w:u w:val="single"/>
              </w:rPr>
              <w:t>00,000</w:t>
            </w:r>
          </w:p>
          <w:p w:rsidR="00B121A8" w:rsidRDefault="00B121A8" w:rsidP="004479D7">
            <w:pPr>
              <w:tabs>
                <w:tab w:val="right" w:pos="3744"/>
              </w:tabs>
              <w:spacing w:after="0"/>
            </w:pPr>
            <w:r>
              <w:t>Total:</w:t>
            </w:r>
            <w:r>
              <w:tab/>
            </w:r>
            <w:r w:rsidR="001F6C4E">
              <w:t xml:space="preserve">$ </w:t>
            </w:r>
            <w:r w:rsidR="00E74A08">
              <w:t>23,6</w:t>
            </w:r>
            <w:r w:rsidR="001F6C4E">
              <w:t>00,00</w:t>
            </w:r>
            <w:r w:rsidR="001F6C4E">
              <w:t>0</w:t>
            </w:r>
          </w:p>
        </w:tc>
        <w:tc>
          <w:tcPr>
            <w:tcW w:w="2903" w:type="dxa"/>
            <w:shd w:val="clear" w:color="auto" w:fill="auto"/>
          </w:tcPr>
          <w:p w:rsidR="00B121A8" w:rsidRDefault="00B121A8" w:rsidP="001F6C4E">
            <w:pPr>
              <w:tabs>
                <w:tab w:val="right" w:pos="2952"/>
              </w:tabs>
              <w:spacing w:after="0"/>
            </w:pPr>
            <w:r>
              <w:t>Tuition</w:t>
            </w:r>
            <w:r>
              <w:tab/>
            </w:r>
            <w:r w:rsidR="001F6C4E">
              <w:t>$ 0</w:t>
            </w:r>
          </w:p>
          <w:p w:rsidR="00B121A8" w:rsidRDefault="00B121A8" w:rsidP="001F6C4E">
            <w:pPr>
              <w:tabs>
                <w:tab w:val="right" w:pos="2952"/>
              </w:tabs>
              <w:spacing w:after="0"/>
            </w:pPr>
            <w:r>
              <w:t>Millage</w:t>
            </w:r>
            <w:r>
              <w:tab/>
            </w:r>
            <w:r w:rsidR="001F6C4E">
              <w:t>$ 0</w:t>
            </w:r>
          </w:p>
          <w:p w:rsidR="00B121A8" w:rsidRDefault="00B121A8" w:rsidP="001F6C4E">
            <w:pPr>
              <w:tabs>
                <w:tab w:val="right" w:pos="2952"/>
              </w:tabs>
              <w:spacing w:after="0"/>
            </w:pPr>
            <w:r>
              <w:t>Bond Proceeds</w:t>
            </w:r>
            <w:r w:rsidR="001F6C4E">
              <w:tab/>
            </w:r>
            <w:r w:rsidR="001F6C4E">
              <w:t xml:space="preserve">$ </w:t>
            </w:r>
            <w:r w:rsidR="00E74A08">
              <w:t>23,6</w:t>
            </w:r>
            <w:r w:rsidR="001F6C4E">
              <w:t>00,000</w:t>
            </w:r>
          </w:p>
          <w:p w:rsidR="00B121A8" w:rsidRDefault="00B121A8" w:rsidP="001F6C4E">
            <w:pPr>
              <w:tabs>
                <w:tab w:val="right" w:pos="2952"/>
              </w:tabs>
              <w:spacing w:after="0"/>
            </w:pPr>
            <w:r>
              <w:t>Donations</w:t>
            </w:r>
            <w:r>
              <w:tab/>
            </w:r>
            <w:r w:rsidR="001F6C4E">
              <w:t>$ 0</w:t>
            </w:r>
          </w:p>
          <w:p w:rsidR="00B121A8" w:rsidRDefault="00B121A8" w:rsidP="001F6C4E">
            <w:pPr>
              <w:tabs>
                <w:tab w:val="right" w:pos="2952"/>
              </w:tabs>
              <w:spacing w:after="0"/>
            </w:pPr>
            <w:r>
              <w:t>Federal</w:t>
            </w:r>
            <w:r>
              <w:tab/>
            </w:r>
            <w:r w:rsidR="001F6C4E">
              <w:t>$ 0</w:t>
            </w:r>
          </w:p>
          <w:p w:rsidR="00B121A8" w:rsidRDefault="00B121A8" w:rsidP="001F6C4E">
            <w:pPr>
              <w:tabs>
                <w:tab w:val="right" w:pos="2952"/>
              </w:tabs>
              <w:spacing w:after="0"/>
            </w:pPr>
            <w:r w:rsidRPr="00E74A08">
              <w:rPr>
                <w:u w:val="single"/>
              </w:rPr>
              <w:t>Other (specify)</w:t>
            </w:r>
            <w:r w:rsidRPr="00E74A08">
              <w:rPr>
                <w:u w:val="single"/>
              </w:rPr>
              <w:tab/>
            </w:r>
            <w:r w:rsidR="001F6C4E" w:rsidRPr="00E74A08">
              <w:rPr>
                <w:u w:val="single"/>
              </w:rPr>
              <w:t>$ 0</w:t>
            </w:r>
          </w:p>
          <w:p w:rsidR="00B121A8" w:rsidRDefault="001F6C4E" w:rsidP="001F6C4E">
            <w:pPr>
              <w:tabs>
                <w:tab w:val="right" w:pos="2952"/>
              </w:tabs>
              <w:spacing w:after="0"/>
            </w:pPr>
            <w:r>
              <w:t>Total:</w:t>
            </w:r>
            <w:r>
              <w:tab/>
              <w:t xml:space="preserve">$ </w:t>
            </w:r>
            <w:r w:rsidR="00E74A08">
              <w:t>23,6</w:t>
            </w:r>
            <w:r>
              <w:t>00,000</w:t>
            </w:r>
          </w:p>
        </w:tc>
      </w:tr>
    </w:tbl>
    <w:p w:rsidR="00941833" w:rsidRDefault="005F4C9E" w:rsidP="00117D29">
      <w:pPr>
        <w:rPr>
          <w:u w:val="single"/>
        </w:rPr>
      </w:pPr>
      <w:r>
        <w:br w:type="page"/>
      </w:r>
      <w:r w:rsidRPr="005F4C9E">
        <w:rPr>
          <w:u w:val="single"/>
        </w:rPr>
        <w:lastRenderedPageBreak/>
        <w:t>Instructions</w:t>
      </w:r>
      <w:r w:rsidR="00AA7995">
        <w:rPr>
          <w:u w:val="single"/>
        </w:rPr>
        <w:t>:</w:t>
      </w:r>
    </w:p>
    <w:p w:rsidR="00AA7995" w:rsidRDefault="008D5200" w:rsidP="00AA7995">
      <w:pPr>
        <w:numPr>
          <w:ilvl w:val="0"/>
          <w:numId w:val="1"/>
        </w:numPr>
        <w:rPr>
          <w:b/>
          <w:bCs/>
        </w:rPr>
      </w:pPr>
      <w:r>
        <w:t xml:space="preserve">Projects </w:t>
      </w:r>
      <w:r w:rsidR="007919B9">
        <w:t xml:space="preserve">shall be </w:t>
      </w:r>
      <w:r>
        <w:t>reported</w:t>
      </w:r>
      <w:r w:rsidR="007919B9">
        <w:t xml:space="preserve"> </w:t>
      </w:r>
      <w:r w:rsidR="003A6DF9">
        <w:t xml:space="preserve">on this standard form </w:t>
      </w:r>
      <w:r w:rsidR="007919B9">
        <w:t xml:space="preserve">and submitted to the </w:t>
      </w:r>
      <w:r w:rsidR="00AA7995" w:rsidRPr="00073983">
        <w:t>J</w:t>
      </w:r>
      <w:r w:rsidR="00AA7995">
        <w:t>oint Capital Outlay Subcommittee</w:t>
      </w:r>
      <w:r w:rsidR="00AA7995" w:rsidRPr="00073983">
        <w:t xml:space="preserve">, the fiscal agencies, and the </w:t>
      </w:r>
      <w:r w:rsidR="00AA7995">
        <w:t>S</w:t>
      </w:r>
      <w:r w:rsidR="00AA7995" w:rsidRPr="00073983">
        <w:t xml:space="preserve">tate </w:t>
      </w:r>
      <w:r w:rsidR="00AA7995">
        <w:t>B</w:t>
      </w:r>
      <w:r w:rsidR="00AA7995" w:rsidRPr="00073983">
        <w:t xml:space="preserve">udget </w:t>
      </w:r>
      <w:r w:rsidR="00AA7995">
        <w:t>O</w:t>
      </w:r>
      <w:r w:rsidR="00AA7995" w:rsidRPr="00073983">
        <w:t xml:space="preserve">ffice </w:t>
      </w:r>
      <w:r w:rsidR="00AA7995" w:rsidRPr="007919B9">
        <w:rPr>
          <w:b/>
          <w:i/>
        </w:rPr>
        <w:t>on or before June 30 and December 31 of each year</w:t>
      </w:r>
      <w:r w:rsidR="00AA7995" w:rsidRPr="00073983">
        <w:t>.</w:t>
      </w:r>
      <w:r w:rsidR="00AA7995">
        <w:t xml:space="preserve">  Submission to the above parties shall be accomplished by posting the reports on the institution's website under the "</w:t>
      </w:r>
      <w:r w:rsidR="00AA7995" w:rsidRPr="00AA7995">
        <w:rPr>
          <w:bCs/>
        </w:rPr>
        <w:t>Budget and Performance Transparency Reporting</w:t>
      </w:r>
      <w:r w:rsidR="007919B9">
        <w:rPr>
          <w:bCs/>
        </w:rPr>
        <w:t>" section.</w:t>
      </w:r>
      <w:r w:rsidR="00AA7995" w:rsidRPr="00AA7995">
        <w:rPr>
          <w:b/>
          <w:bCs/>
        </w:rPr>
        <w:t xml:space="preserve"> </w:t>
      </w:r>
      <w:r w:rsidR="007919B9">
        <w:rPr>
          <w:b/>
          <w:bCs/>
        </w:rPr>
        <w:t xml:space="preserve"> </w:t>
      </w:r>
      <w:r w:rsidR="007919B9">
        <w:rPr>
          <w:bCs/>
        </w:rPr>
        <w:t xml:space="preserve">If an institution has no projects to report for a six-month period, </w:t>
      </w:r>
      <w:r w:rsidR="004515B4">
        <w:rPr>
          <w:bCs/>
        </w:rPr>
        <w:t>enter "None" next to "Number of Projects to Report</w:t>
      </w:r>
      <w:r>
        <w:rPr>
          <w:bCs/>
        </w:rPr>
        <w:t xml:space="preserve">" </w:t>
      </w:r>
      <w:r w:rsidR="00705C8B">
        <w:rPr>
          <w:bCs/>
        </w:rPr>
        <w:t xml:space="preserve">located on the </w:t>
      </w:r>
      <w:r>
        <w:rPr>
          <w:bCs/>
        </w:rPr>
        <w:t xml:space="preserve">top of the </w:t>
      </w:r>
      <w:r w:rsidR="00705C8B">
        <w:rPr>
          <w:bCs/>
        </w:rPr>
        <w:t>form</w:t>
      </w:r>
      <w:r>
        <w:rPr>
          <w:bCs/>
        </w:rPr>
        <w:t>.</w:t>
      </w:r>
      <w:r w:rsidR="007919B9">
        <w:rPr>
          <w:b/>
          <w:bCs/>
        </w:rPr>
        <w:t xml:space="preserve"> </w:t>
      </w:r>
    </w:p>
    <w:p w:rsidR="00344F70" w:rsidRPr="003A6DF9" w:rsidRDefault="00344F70" w:rsidP="00344F70">
      <w:pPr>
        <w:numPr>
          <w:ilvl w:val="0"/>
          <w:numId w:val="1"/>
        </w:numPr>
        <w:rPr>
          <w:u w:val="single"/>
        </w:rPr>
      </w:pPr>
      <w:r>
        <w:t xml:space="preserve">Reports shall include </w:t>
      </w:r>
      <w:r w:rsidRPr="005F4C9E">
        <w:t xml:space="preserve">all contracts entered into for new construction of </w:t>
      </w:r>
      <w:r w:rsidRPr="00344F70">
        <w:rPr>
          <w:b/>
          <w:i/>
        </w:rPr>
        <w:t>self-funded projects costing in excess of $1,000,000.00</w:t>
      </w:r>
      <w:r w:rsidRPr="005F4C9E">
        <w:t>.</w:t>
      </w:r>
      <w:r>
        <w:t xml:space="preserve"> </w:t>
      </w:r>
      <w:r w:rsidRPr="005F4C9E">
        <w:t xml:space="preserve"> </w:t>
      </w:r>
      <w:r w:rsidRPr="00344F70">
        <w:t xml:space="preserve">Projects funded by State capital outlay appropriations are not to be included in these reports.  </w:t>
      </w:r>
      <w:r>
        <w:t xml:space="preserve">Once submitted, a project does not have to be listed in any subsequent report, unless a </w:t>
      </w:r>
      <w:r w:rsidR="008D5200">
        <w:t xml:space="preserve">change in project </w:t>
      </w:r>
      <w:r>
        <w:t xml:space="preserve">cost has occurred.  In such case, the </w:t>
      </w:r>
      <w:r w:rsidR="008D5200">
        <w:t xml:space="preserve">subsequent </w:t>
      </w:r>
      <w:r>
        <w:t>use and finance report sh</w:t>
      </w:r>
      <w:r w:rsidR="008D5200">
        <w:t>all</w:t>
      </w:r>
      <w:r>
        <w:t xml:space="preserve"> clearly state that the project cost </w:t>
      </w:r>
      <w:r w:rsidR="008D5200">
        <w:t xml:space="preserve">has changed, </w:t>
      </w:r>
      <w:r>
        <w:t>list</w:t>
      </w:r>
      <w:r w:rsidR="008D5200">
        <w:t>ing</w:t>
      </w:r>
      <w:r>
        <w:t xml:space="preserve"> the dollar </w:t>
      </w:r>
      <w:r w:rsidR="008D5200">
        <w:t xml:space="preserve">amount of the </w:t>
      </w:r>
      <w:r>
        <w:t>change, and</w:t>
      </w:r>
      <w:r w:rsidR="008D5200">
        <w:t xml:space="preserve"> including</w:t>
      </w:r>
      <w:r>
        <w:t xml:space="preserve"> reasons for the cost </w:t>
      </w:r>
      <w:r w:rsidR="008D5200">
        <w:t>change</w:t>
      </w:r>
      <w:r>
        <w:t xml:space="preserve">. </w:t>
      </w:r>
    </w:p>
    <w:p w:rsidR="003A6DF9" w:rsidRPr="00543E32" w:rsidRDefault="003A6DF9" w:rsidP="00344F70">
      <w:pPr>
        <w:numPr>
          <w:ilvl w:val="0"/>
          <w:numId w:val="1"/>
        </w:numPr>
        <w:rPr>
          <w:u w:val="single"/>
        </w:rPr>
      </w:pPr>
      <w:r w:rsidRPr="005F4C9E">
        <w:t>New construction includes land or property acquisition, remodeling and additions, maintenance projects, roads, landscaping, equipment, telecommunications, utilities, a</w:t>
      </w:r>
      <w:r>
        <w:t xml:space="preserve">nd parking lots and structures.  </w:t>
      </w:r>
    </w:p>
    <w:p w:rsidR="00344F70" w:rsidRPr="00344F70" w:rsidRDefault="008A1953" w:rsidP="005F4C9E">
      <w:pPr>
        <w:numPr>
          <w:ilvl w:val="0"/>
          <w:numId w:val="1"/>
        </w:numPr>
        <w:rPr>
          <w:u w:val="single"/>
        </w:rPr>
      </w:pPr>
      <w:r>
        <w:t>Project Description should include a basic overview of the project</w:t>
      </w:r>
      <w:r w:rsidR="00756D2A">
        <w:t xml:space="preserve"> including the purpose and justification for the project.</w:t>
      </w:r>
      <w:r w:rsidR="00AA7995">
        <w:t xml:space="preserve"> </w:t>
      </w:r>
    </w:p>
    <w:p w:rsidR="00073983" w:rsidRPr="00073983" w:rsidRDefault="007919B9" w:rsidP="005F4C9E">
      <w:pPr>
        <w:numPr>
          <w:ilvl w:val="0"/>
          <w:numId w:val="1"/>
        </w:numPr>
        <w:rPr>
          <w:u w:val="single"/>
        </w:rPr>
      </w:pPr>
      <w:r>
        <w:t xml:space="preserve">Reports shall </w:t>
      </w:r>
      <w:r w:rsidR="006405F6">
        <w:t>detail</w:t>
      </w:r>
      <w:r>
        <w:t xml:space="preserve"> by amount the funding sources that are supporting a project</w:t>
      </w:r>
      <w:r w:rsidR="006405F6">
        <w:t xml:space="preserve"> (</w:t>
      </w:r>
      <w:r>
        <w:t>e.g. tuition, fees, bond funds, millage, donations, etc.</w:t>
      </w:r>
      <w:r w:rsidR="006405F6">
        <w:t>).</w:t>
      </w:r>
    </w:p>
    <w:p w:rsidR="00AB24E1" w:rsidRDefault="00AB24E1" w:rsidP="00AB24E1">
      <w:pPr>
        <w:numPr>
          <w:ilvl w:val="0"/>
          <w:numId w:val="1"/>
        </w:numPr>
      </w:pPr>
      <w:r w:rsidRPr="00400C9A">
        <w:rPr>
          <w:b/>
          <w:i/>
        </w:rPr>
        <w:t xml:space="preserve">Penalties: </w:t>
      </w:r>
      <w:r>
        <w:t xml:space="preserve"> Statutory language in the appropriation act for Universities and Community Colleges provides that institutions </w:t>
      </w:r>
      <w:r w:rsidRPr="00AB24E1">
        <w:t xml:space="preserve">shall comply with the current use and finance requirements of the </w:t>
      </w:r>
      <w:r w:rsidR="008D5200">
        <w:t>J</w:t>
      </w:r>
      <w:r w:rsidRPr="00AB24E1">
        <w:t xml:space="preserve">oint </w:t>
      </w:r>
      <w:r w:rsidR="008D5200">
        <w:t>C</w:t>
      </w:r>
      <w:r w:rsidRPr="00AB24E1">
        <w:t xml:space="preserve">apital </w:t>
      </w:r>
      <w:r w:rsidR="008D5200">
        <w:t>O</w:t>
      </w:r>
      <w:r w:rsidRPr="00AB24E1">
        <w:t xml:space="preserve">utlay </w:t>
      </w:r>
      <w:r w:rsidR="008D5200">
        <w:t>S</w:t>
      </w:r>
      <w:r w:rsidRPr="00AB24E1">
        <w:t>ubcommittee</w:t>
      </w:r>
      <w:r>
        <w:t xml:space="preserve"> and provides for a 1.0% reduction in State appropriations for </w:t>
      </w:r>
      <w:r w:rsidRPr="00AB24E1">
        <w:t>each violation.</w:t>
      </w:r>
    </w:p>
    <w:p w:rsidR="00AB24E1" w:rsidRDefault="00AB24E1" w:rsidP="00AB24E1">
      <w:pPr>
        <w:rPr>
          <w:u w:val="single"/>
        </w:rPr>
      </w:pPr>
      <w:r w:rsidRPr="00AB24E1">
        <w:rPr>
          <w:u w:val="single"/>
        </w:rPr>
        <w:t>Statutory References</w:t>
      </w:r>
    </w:p>
    <w:p w:rsidR="00AB24E1" w:rsidRDefault="00AB24E1" w:rsidP="00AB24E1">
      <w:r>
        <w:t>Management and Budget Act</w:t>
      </w:r>
      <w:r w:rsidR="005F53C3">
        <w:t xml:space="preserve">, 1984 PA 431, Section 238, </w:t>
      </w:r>
      <w:r>
        <w:t>MCL 18.1238</w:t>
      </w:r>
    </w:p>
    <w:p w:rsidR="005F53C3" w:rsidRDefault="005F53C3" w:rsidP="00AB24E1">
      <w:r>
        <w:t>State School Aid Act, 1979 PA 94, Section 208</w:t>
      </w:r>
      <w:r w:rsidR="00B00EA2">
        <w:t>, MCL 388.</w:t>
      </w:r>
      <w:r w:rsidR="009D7A33">
        <w:t>1808</w:t>
      </w:r>
    </w:p>
    <w:p w:rsidR="00AB24E1" w:rsidRPr="00AB24E1" w:rsidRDefault="00AB24E1" w:rsidP="00AB24E1">
      <w:r>
        <w:t>State School</w:t>
      </w:r>
      <w:r w:rsidR="005F53C3">
        <w:t xml:space="preserve"> Aid Act, 1979 PA 94, Section 275a</w:t>
      </w:r>
      <w:r w:rsidR="00B00EA2">
        <w:t>, MCL 388.</w:t>
      </w:r>
      <w:r w:rsidR="009D7A33">
        <w:t>1875a</w:t>
      </w:r>
    </w:p>
    <w:sectPr w:rsidR="00AB24E1" w:rsidRPr="00AB24E1" w:rsidSect="000949D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84" w:rsidRDefault="00B20084" w:rsidP="00FC5526">
      <w:pPr>
        <w:spacing w:after="0" w:line="240" w:lineRule="auto"/>
      </w:pPr>
      <w:r>
        <w:separator/>
      </w:r>
    </w:p>
  </w:endnote>
  <w:endnote w:type="continuationSeparator" w:id="0">
    <w:p w:rsidR="00B20084" w:rsidRDefault="00B20084" w:rsidP="00FC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F70" w:rsidRDefault="00344F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4DE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DEC">
      <w:rPr>
        <w:b/>
        <w:bCs/>
        <w:noProof/>
      </w:rPr>
      <w:t>3</w:t>
    </w:r>
    <w:r>
      <w:rPr>
        <w:b/>
        <w:bCs/>
        <w:sz w:val="24"/>
        <w:szCs w:val="24"/>
      </w:rPr>
      <w:fldChar w:fldCharType="end"/>
    </w:r>
  </w:p>
  <w:p w:rsidR="00344F70" w:rsidRDefault="0034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84" w:rsidRDefault="00B20084" w:rsidP="00FC5526">
      <w:pPr>
        <w:spacing w:after="0" w:line="240" w:lineRule="auto"/>
      </w:pPr>
      <w:r>
        <w:separator/>
      </w:r>
    </w:p>
  </w:footnote>
  <w:footnote w:type="continuationSeparator" w:id="0">
    <w:p w:rsidR="00B20084" w:rsidRDefault="00B20084" w:rsidP="00FC5526">
      <w:pPr>
        <w:spacing w:after="0" w:line="240" w:lineRule="auto"/>
      </w:pPr>
      <w:r>
        <w:continuationSeparator/>
      </w:r>
    </w:p>
  </w:footnote>
  <w:footnote w:id="1">
    <w:p w:rsidR="009028AA" w:rsidRDefault="009028AA">
      <w:pPr>
        <w:pStyle w:val="FootnoteText"/>
      </w:pPr>
      <w:r>
        <w:rPr>
          <w:rStyle w:val="FootnoteReference"/>
        </w:rPr>
        <w:footnoteRef/>
      </w:r>
      <w:r>
        <w:t xml:space="preserve"> This amount shall be calculated by dividing the amount of tuition revenue that is annually budgeted for the institution's share of a project's cost by the most recent fiscal year equated student count for the institution.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9393E"/>
    <w:multiLevelType w:val="hybridMultilevel"/>
    <w:tmpl w:val="BD40DDCC"/>
    <w:lvl w:ilvl="0" w:tplc="569CFC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E4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DD"/>
    <w:rsid w:val="00050A42"/>
    <w:rsid w:val="00073983"/>
    <w:rsid w:val="000949DD"/>
    <w:rsid w:val="000A5FC9"/>
    <w:rsid w:val="001070BB"/>
    <w:rsid w:val="00114030"/>
    <w:rsid w:val="0011638C"/>
    <w:rsid w:val="00117D29"/>
    <w:rsid w:val="0013692F"/>
    <w:rsid w:val="00145679"/>
    <w:rsid w:val="0016026C"/>
    <w:rsid w:val="001A0AF6"/>
    <w:rsid w:val="001A6737"/>
    <w:rsid w:val="001D1DAC"/>
    <w:rsid w:val="001F5048"/>
    <w:rsid w:val="001F6C4E"/>
    <w:rsid w:val="002004F0"/>
    <w:rsid w:val="00244089"/>
    <w:rsid w:val="002B7226"/>
    <w:rsid w:val="002C0FF6"/>
    <w:rsid w:val="002F7D97"/>
    <w:rsid w:val="00344F70"/>
    <w:rsid w:val="003A6DF9"/>
    <w:rsid w:val="003B63A6"/>
    <w:rsid w:val="003C1A6E"/>
    <w:rsid w:val="003E73F4"/>
    <w:rsid w:val="00400C9A"/>
    <w:rsid w:val="00415A28"/>
    <w:rsid w:val="00425540"/>
    <w:rsid w:val="004475D6"/>
    <w:rsid w:val="004479D7"/>
    <w:rsid w:val="004515B4"/>
    <w:rsid w:val="00464A0A"/>
    <w:rsid w:val="004870BB"/>
    <w:rsid w:val="004E1A69"/>
    <w:rsid w:val="00514DCD"/>
    <w:rsid w:val="00543E32"/>
    <w:rsid w:val="005536AE"/>
    <w:rsid w:val="005E2EE3"/>
    <w:rsid w:val="005E428D"/>
    <w:rsid w:val="005E7082"/>
    <w:rsid w:val="005F410C"/>
    <w:rsid w:val="005F4C9E"/>
    <w:rsid w:val="005F53C3"/>
    <w:rsid w:val="006317FB"/>
    <w:rsid w:val="00635E9B"/>
    <w:rsid w:val="006405F6"/>
    <w:rsid w:val="006755FC"/>
    <w:rsid w:val="006A18DB"/>
    <w:rsid w:val="006F657F"/>
    <w:rsid w:val="00705C8B"/>
    <w:rsid w:val="00737646"/>
    <w:rsid w:val="007422E3"/>
    <w:rsid w:val="00756D2A"/>
    <w:rsid w:val="007832FA"/>
    <w:rsid w:val="007919B9"/>
    <w:rsid w:val="007A3802"/>
    <w:rsid w:val="007E1DB8"/>
    <w:rsid w:val="008A1953"/>
    <w:rsid w:val="008A5B59"/>
    <w:rsid w:val="008C7B3B"/>
    <w:rsid w:val="008D5200"/>
    <w:rsid w:val="008E0DC9"/>
    <w:rsid w:val="009028AA"/>
    <w:rsid w:val="009374C2"/>
    <w:rsid w:val="00941833"/>
    <w:rsid w:val="009D3B59"/>
    <w:rsid w:val="009D4997"/>
    <w:rsid w:val="009D7A33"/>
    <w:rsid w:val="009F30CD"/>
    <w:rsid w:val="00A1605D"/>
    <w:rsid w:val="00AA7995"/>
    <w:rsid w:val="00AB24E1"/>
    <w:rsid w:val="00AE3867"/>
    <w:rsid w:val="00AF1F34"/>
    <w:rsid w:val="00AF3284"/>
    <w:rsid w:val="00AF4DAF"/>
    <w:rsid w:val="00B00EA2"/>
    <w:rsid w:val="00B121A8"/>
    <w:rsid w:val="00B14309"/>
    <w:rsid w:val="00B20084"/>
    <w:rsid w:val="00B65AEE"/>
    <w:rsid w:val="00BA525B"/>
    <w:rsid w:val="00BF4AAA"/>
    <w:rsid w:val="00C4618E"/>
    <w:rsid w:val="00C942E9"/>
    <w:rsid w:val="00CB4933"/>
    <w:rsid w:val="00CF1AE8"/>
    <w:rsid w:val="00D03FC9"/>
    <w:rsid w:val="00D76821"/>
    <w:rsid w:val="00DC0A4B"/>
    <w:rsid w:val="00DF0C3D"/>
    <w:rsid w:val="00E74A08"/>
    <w:rsid w:val="00F04E87"/>
    <w:rsid w:val="00F34E1A"/>
    <w:rsid w:val="00F50454"/>
    <w:rsid w:val="00F94DEC"/>
    <w:rsid w:val="00FC5526"/>
    <w:rsid w:val="00FD1393"/>
    <w:rsid w:val="00F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44A71-06D2-4545-A592-C02F88B3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A799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526"/>
    <w:pPr>
      <w:tabs>
        <w:tab w:val="center" w:pos="4680"/>
        <w:tab w:val="right" w:pos="9360"/>
      </w:tabs>
    </w:pPr>
  </w:style>
  <w:style w:type="character" w:customStyle="1" w:styleId="HeaderChar">
    <w:name w:val="Header Char"/>
    <w:link w:val="Header"/>
    <w:uiPriority w:val="99"/>
    <w:rsid w:val="00FC5526"/>
    <w:rPr>
      <w:sz w:val="22"/>
      <w:szCs w:val="22"/>
    </w:rPr>
  </w:style>
  <w:style w:type="paragraph" w:styleId="Footer">
    <w:name w:val="footer"/>
    <w:basedOn w:val="Normal"/>
    <w:link w:val="FooterChar"/>
    <w:uiPriority w:val="99"/>
    <w:unhideWhenUsed/>
    <w:rsid w:val="00FC5526"/>
    <w:pPr>
      <w:tabs>
        <w:tab w:val="center" w:pos="4680"/>
        <w:tab w:val="right" w:pos="9360"/>
      </w:tabs>
    </w:pPr>
  </w:style>
  <w:style w:type="character" w:customStyle="1" w:styleId="FooterChar">
    <w:name w:val="Footer Char"/>
    <w:link w:val="Footer"/>
    <w:uiPriority w:val="99"/>
    <w:rsid w:val="00FC5526"/>
    <w:rPr>
      <w:sz w:val="22"/>
      <w:szCs w:val="22"/>
    </w:rPr>
  </w:style>
  <w:style w:type="paragraph" w:styleId="BalloonText">
    <w:name w:val="Balloon Text"/>
    <w:basedOn w:val="Normal"/>
    <w:link w:val="BalloonTextChar"/>
    <w:uiPriority w:val="99"/>
    <w:semiHidden/>
    <w:unhideWhenUsed/>
    <w:rsid w:val="00AF4D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DAF"/>
    <w:rPr>
      <w:rFonts w:ascii="Tahoma" w:hAnsi="Tahoma" w:cs="Tahoma"/>
      <w:sz w:val="16"/>
      <w:szCs w:val="16"/>
    </w:rPr>
  </w:style>
  <w:style w:type="character" w:customStyle="1" w:styleId="Heading1Char">
    <w:name w:val="Heading 1 Char"/>
    <w:link w:val="Heading1"/>
    <w:uiPriority w:val="9"/>
    <w:rsid w:val="00AA7995"/>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unhideWhenUsed/>
    <w:rsid w:val="009028AA"/>
    <w:rPr>
      <w:sz w:val="20"/>
      <w:szCs w:val="20"/>
    </w:rPr>
  </w:style>
  <w:style w:type="character" w:customStyle="1" w:styleId="FootnoteTextChar">
    <w:name w:val="Footnote Text Char"/>
    <w:basedOn w:val="DefaultParagraphFont"/>
    <w:link w:val="FootnoteText"/>
    <w:uiPriority w:val="99"/>
    <w:semiHidden/>
    <w:rsid w:val="009028AA"/>
  </w:style>
  <w:style w:type="character" w:styleId="FootnoteReference">
    <w:name w:val="footnote reference"/>
    <w:uiPriority w:val="99"/>
    <w:semiHidden/>
    <w:unhideWhenUsed/>
    <w:rsid w:val="009028AA"/>
    <w:rPr>
      <w:vertAlign w:val="superscript"/>
    </w:rPr>
  </w:style>
  <w:style w:type="paragraph" w:styleId="ListParagraph">
    <w:name w:val="List Paragraph"/>
    <w:basedOn w:val="Normal"/>
    <w:uiPriority w:val="34"/>
    <w:qFormat/>
    <w:rsid w:val="00114030"/>
    <w:pPr>
      <w:ind w:left="720"/>
      <w:contextualSpacing/>
    </w:pPr>
  </w:style>
  <w:style w:type="paragraph" w:styleId="NormalWeb">
    <w:name w:val="Normal (Web)"/>
    <w:basedOn w:val="Normal"/>
    <w:uiPriority w:val="99"/>
    <w:unhideWhenUsed/>
    <w:rsid w:val="001F6C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5347">
      <w:bodyDiv w:val="1"/>
      <w:marLeft w:val="0"/>
      <w:marRight w:val="0"/>
      <w:marTop w:val="0"/>
      <w:marBottom w:val="0"/>
      <w:divBdr>
        <w:top w:val="none" w:sz="0" w:space="0" w:color="auto"/>
        <w:left w:val="none" w:sz="0" w:space="0" w:color="auto"/>
        <w:bottom w:val="none" w:sz="0" w:space="0" w:color="auto"/>
        <w:right w:val="none" w:sz="0" w:space="0" w:color="auto"/>
      </w:divBdr>
    </w:div>
    <w:div w:id="1462386996">
      <w:bodyDiv w:val="1"/>
      <w:marLeft w:val="0"/>
      <w:marRight w:val="0"/>
      <w:marTop w:val="0"/>
      <w:marBottom w:val="0"/>
      <w:divBdr>
        <w:top w:val="none" w:sz="0" w:space="0" w:color="auto"/>
        <w:left w:val="none" w:sz="0" w:space="0" w:color="auto"/>
        <w:bottom w:val="none" w:sz="0" w:space="0" w:color="auto"/>
        <w:right w:val="none" w:sz="0" w:space="0" w:color="auto"/>
      </w:divBdr>
      <w:divsChild>
        <w:div w:id="186918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9408-448D-4F75-93C9-26B4352A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Macomb Community College</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Cremeans</dc:creator>
  <cp:lastModifiedBy>Morrie Walworth</cp:lastModifiedBy>
  <cp:revision>6</cp:revision>
  <cp:lastPrinted>2018-12-20T16:50:00Z</cp:lastPrinted>
  <dcterms:created xsi:type="dcterms:W3CDTF">2018-12-20T16:25:00Z</dcterms:created>
  <dcterms:modified xsi:type="dcterms:W3CDTF">2018-12-20T16:58:00Z</dcterms:modified>
</cp:coreProperties>
</file>