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 Lamprey Sampler Presentations Note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Note: Each section has some of the key ideas for each topic. More detailed information is available in the “Sea Lamprey Sampler Teacher Resource Document”. 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Provide 3 or more unique things you learned from each category.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Anatomy and Physiology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(i.e., body structures and their function for survival)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All lamprey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Eel like, no scales, sucking disk mouth, no jaw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Classification: Member of  the “superclass”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rtl w:val="0"/>
              </w:rPr>
              <w:t xml:space="preserve">Agnatha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(jawless fish)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Simple nervous system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Sea lamprey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1st and 2nd dorsal fins separated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Close together, bicuspid teeth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Rasping tongue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Papilla on mouth help stick to fish body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Brain has beginning parts of complex vertebrate brain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Produce large amounts of offspring each season (high fecundity)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Survive in substrate away from predators during larval stage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Low feeding during larval stage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Very tolerant to changes in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Native Range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(including ecosystem niche/role, e.g., evolutionary relationships such as predator-prey or parasitism)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Live in marine and freshwater environments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Spawn in rivers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Native to Atlantic coast of Labrador, Gulf of Mexico, Florida, Atlantic coast of Europe and the Mediterranean Sea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Endangered in some native areas because of dams, overfishing, pollution and habitat loss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In their native habitat they are naturally kept in control by other native species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No natural predators to keep them in control in the Great Lakes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 in the Great Lakes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First sighting in 1800s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First found in Lake Ontario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Moved to other Great Lakes using connecting streams, rivers and fish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Found in all Great Lakes in the 1940’s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Currently found in all Great Lakes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Early entrance to the Great Lakes system assisted by human construction of shipping canals.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Life Cycle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2 phases of life cycle:sedentary (larval) phase and parasitic (free-swimming) phase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Larval stages live in freshwater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Larval stage: ammocoetes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Lasts 3-4 years sometimes up to 10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Not parasitic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Migrate to large bodies of water as juveniles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Transformation starts when the eyes and disk mouth develop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Parasitic (juvenile) stage occurs in lakes and oceans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Lasts from 12-20 months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Parasitise fish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Sea lamprey in the Great Lakes do not migrate to the ocean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Adults breed in streams and lakes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1"/>
                <w:numId w:val="5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Return to their natal stream/lake for spawning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1"/>
                <w:numId w:val="5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Spawn once and die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Impact on Great Lakes Ecosystems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During parasitic phase sea lampreys kill up to 40 pounds of fish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Sea lamprey prey fish can die from malnutrition or an infection from the wound left by the lamprey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Lack of natural predators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Native fish have no natural defenses against sea lamprey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Great Lakes fish species are smaller and have smaller population sizes than marine fish so sea lamprey effects are greater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Impact on Great Lakes Economies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Negatively impacts fishing industry surrounding lake trout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Lake trout help maintain the food web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Caused a decline in fisheries; decline in fish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Sea lamprey provide no economic benefit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Methods of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(Include how each method controls the population.)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Lampricides–most used and most effective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TFM:  targets sea lampreys as larvae; kills them before they form a parasitic mouth; doesn’t affect native sea lamprey; doesn’t affect chemical make-up of stream.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Bayluscide:  used in slow-moving or deep water; could be used with TFM or on its own; less expensive than TFM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Barriers–walls that block migration of adult sea lampreys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Reduces access to spawning streams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Allow other native fishes to jump but not sea lamprey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Pheromones and alarm cues–natural chemicals released into water by sea lampreys and other organisms.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Detract sea lampreys from suitable spawning habitats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Used to lure adults to unsuitable spawning areas or </w:t>
            </w:r>
          </w:p>
          <w:p w:rsidR="00000000" w:rsidDel="00000000" w:rsidP="00000000" w:rsidRDefault="00000000" w:rsidRPr="00000000" w14:paraId="00000055">
            <w:pPr>
              <w:numPr>
                <w:ilvl w:val="1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Raise an alarm to keep away from their natural spawning area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Traps–not very successful as a control but allows scientists to study populations spawning in certain streams; often used in conjunction with barriers.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Career Pathways Associated with Sea Lamprey Study and Control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Provide job opportunities to fisheries and wildlife biologists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Sea lamprey control teams identify areas where control is needed, monitor controlled areas and put control methods in place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Chemists produce and test chemical treatments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>
        <w:color w:val="ff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Name: </w:t>
    </w:r>
    <w:r w:rsidDel="00000000" w:rsidR="00000000" w:rsidRPr="00000000">
      <w:rPr>
        <w:rFonts w:ascii="Times New Roman" w:cs="Times New Roman" w:eastAsia="Times New Roman" w:hAnsi="Times New Roman"/>
        <w:b w:val="1"/>
        <w:color w:val="ff0000"/>
        <w:sz w:val="24"/>
        <w:szCs w:val="24"/>
        <w:rtl w:val="0"/>
      </w:rPr>
      <w:t xml:space="preserve">Teacher Key (basic)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