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532E" w14:textId="21B0C171" w:rsidR="008E2800" w:rsidRDefault="008E2800" w:rsidP="008E2800">
      <w:pPr>
        <w:pStyle w:val="Heading1"/>
        <w:jc w:val="center"/>
      </w:pPr>
      <w:bookmarkStart w:id="0" w:name="_GoBack"/>
      <w:bookmarkEnd w:id="0"/>
      <w:r>
        <w:rPr>
          <w:noProof/>
        </w:rPr>
        <w:drawing>
          <wp:inline distT="0" distB="0" distL="0" distR="0" wp14:anchorId="14F9BD82" wp14:editId="33E7FBC3">
            <wp:extent cx="2450592" cy="850392"/>
            <wp:effectExtent l="0" t="0" r="6985" b="6985"/>
            <wp:docPr id="9543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7446" name="Picture 95437446"/>
                    <pic:cNvPicPr/>
                  </pic:nvPicPr>
                  <pic:blipFill>
                    <a:blip r:embed="rId8"/>
                    <a:stretch>
                      <a:fillRect/>
                    </a:stretch>
                  </pic:blipFill>
                  <pic:spPr>
                    <a:xfrm>
                      <a:off x="0" y="0"/>
                      <a:ext cx="2450592" cy="850392"/>
                    </a:xfrm>
                    <a:prstGeom prst="rect">
                      <a:avLst/>
                    </a:prstGeom>
                  </pic:spPr>
                </pic:pic>
              </a:graphicData>
            </a:graphic>
          </wp:inline>
        </w:drawing>
      </w:r>
    </w:p>
    <w:p w14:paraId="090475B8" w14:textId="77777777" w:rsidR="008E2800" w:rsidRDefault="008E2800" w:rsidP="008E2800">
      <w:pPr>
        <w:pStyle w:val="Heading1"/>
        <w:spacing w:before="0" w:line="240" w:lineRule="auto"/>
        <w:jc w:val="center"/>
      </w:pPr>
    </w:p>
    <w:p w14:paraId="6B61AF78" w14:textId="64616FA2" w:rsidR="008E2800" w:rsidRDefault="008E2800" w:rsidP="008E2800">
      <w:pPr>
        <w:pStyle w:val="Heading1"/>
        <w:spacing w:before="0" w:line="240" w:lineRule="auto"/>
        <w:jc w:val="center"/>
      </w:pPr>
      <w:r>
        <w:t>Webinar:  Leading with Purpose:  Mission-Driven Decision-Making</w:t>
      </w:r>
    </w:p>
    <w:p w14:paraId="2C9990C5" w14:textId="59F6993C" w:rsidR="008E2800" w:rsidRPr="008E2800" w:rsidRDefault="008E2800" w:rsidP="008E2800">
      <w:pPr>
        <w:jc w:val="center"/>
        <w:rPr>
          <w:b/>
          <w:bCs/>
          <w:color w:val="365F91" w:themeColor="accent1" w:themeShade="BF"/>
        </w:rPr>
      </w:pPr>
      <w:r w:rsidRPr="008E2800">
        <w:rPr>
          <w:b/>
          <w:bCs/>
          <w:color w:val="365F91" w:themeColor="accent1" w:themeShade="BF"/>
        </w:rPr>
        <w:t>October 2025</w:t>
      </w:r>
    </w:p>
    <w:p w14:paraId="5F8F2288" w14:textId="5ADF1DA7" w:rsidR="00E24D40" w:rsidRDefault="008E2800" w:rsidP="008E2800">
      <w:pPr>
        <w:pStyle w:val="Heading1"/>
        <w:spacing w:before="0" w:line="240" w:lineRule="auto"/>
        <w:jc w:val="center"/>
      </w:pPr>
      <w:r>
        <w:t>Integrating Mission Metrics into Dashboards</w:t>
      </w:r>
    </w:p>
    <w:p w14:paraId="71BC1DA5" w14:textId="77777777" w:rsidR="008E2800" w:rsidRDefault="008E2800" w:rsidP="008E2800">
      <w:pPr>
        <w:pStyle w:val="Heading2"/>
        <w:spacing w:before="0" w:line="240" w:lineRule="auto"/>
      </w:pPr>
    </w:p>
    <w:p w14:paraId="112CB6BE" w14:textId="7C480386" w:rsidR="00E24D40" w:rsidRDefault="008E2800" w:rsidP="008E2800">
      <w:pPr>
        <w:pStyle w:val="Heading2"/>
        <w:spacing w:before="0" w:line="240" w:lineRule="auto"/>
      </w:pPr>
      <w:r>
        <w:t>Purpose</w:t>
      </w:r>
    </w:p>
    <w:p w14:paraId="7B6B49BF" w14:textId="77777777" w:rsidR="00E24D40" w:rsidRPr="008E2800" w:rsidRDefault="008E2800" w:rsidP="008E2800">
      <w:pPr>
        <w:spacing w:after="0" w:line="240" w:lineRule="auto"/>
        <w:jc w:val="both"/>
        <w:rPr>
          <w:i/>
          <w:iCs/>
        </w:rPr>
      </w:pPr>
      <w:r w:rsidRPr="008E2800">
        <w:rPr>
          <w:i/>
          <w:iCs/>
        </w:rPr>
        <w:t>Dashboards should measure what matters most — the school’s impact in fulfilling its mission. Integrating mission metrics ensures that board and leadership conversations remain focused not only on performance, but on purpose and alignment with the charter’s founding intent.</w:t>
      </w:r>
    </w:p>
    <w:p w14:paraId="5E57240A" w14:textId="77777777" w:rsidR="008E2800" w:rsidRDefault="008E2800" w:rsidP="008E2800">
      <w:pPr>
        <w:pStyle w:val="Heading2"/>
        <w:spacing w:before="0" w:line="240" w:lineRule="auto"/>
      </w:pPr>
    </w:p>
    <w:p w14:paraId="5DF92377" w14:textId="58CA276B" w:rsidR="00E24D40" w:rsidRDefault="008E2800" w:rsidP="008E2800">
      <w:pPr>
        <w:pStyle w:val="Heading2"/>
        <w:spacing w:before="0" w:line="240" w:lineRule="auto"/>
      </w:pPr>
      <w:r>
        <w:t>Five Integration Strategies</w:t>
      </w:r>
    </w:p>
    <w:p w14:paraId="39D26878" w14:textId="6FB55AA1" w:rsidR="00E24D40" w:rsidRPr="008E2800" w:rsidRDefault="008E2800" w:rsidP="008E2800">
      <w:pPr>
        <w:pStyle w:val="ListNumber"/>
        <w:numPr>
          <w:ilvl w:val="0"/>
          <w:numId w:val="10"/>
        </w:numPr>
        <w:spacing w:after="0" w:line="240" w:lineRule="auto"/>
        <w:ind w:left="360"/>
        <w:rPr>
          <w:b/>
          <w:bCs/>
        </w:rPr>
      </w:pPr>
      <w:r w:rsidRPr="008E2800">
        <w:rPr>
          <w:b/>
          <w:bCs/>
        </w:rPr>
        <w:t>Anchor Dashboards to Mission Pillars</w:t>
      </w:r>
    </w:p>
    <w:p w14:paraId="57FE8E12" w14:textId="77777777" w:rsidR="00E24D40" w:rsidRDefault="008E2800" w:rsidP="008E2800">
      <w:pPr>
        <w:spacing w:after="0" w:line="240" w:lineRule="auto"/>
      </w:pPr>
      <w:r>
        <w:t>Reorganize dashboard categories by mission-focused outcomes (e.g., Readiness, Leadership, Equity, Stewardship).</w:t>
      </w:r>
    </w:p>
    <w:p w14:paraId="540EF230" w14:textId="77777777" w:rsidR="008E2800" w:rsidRDefault="008E2800" w:rsidP="008E2800">
      <w:pPr>
        <w:spacing w:after="0" w:line="240" w:lineRule="auto"/>
      </w:pPr>
    </w:p>
    <w:p w14:paraId="5B9D3782" w14:textId="47DBCBC1" w:rsidR="00E24D40" w:rsidRPr="008E2800" w:rsidRDefault="008E2800" w:rsidP="008E2800">
      <w:pPr>
        <w:pStyle w:val="ListNumber"/>
        <w:numPr>
          <w:ilvl w:val="0"/>
          <w:numId w:val="10"/>
        </w:numPr>
        <w:spacing w:after="0" w:line="240" w:lineRule="auto"/>
        <w:ind w:left="360"/>
        <w:rPr>
          <w:b/>
          <w:bCs/>
        </w:rPr>
      </w:pPr>
      <w:r w:rsidRPr="008E2800">
        <w:rPr>
          <w:b/>
          <w:bCs/>
        </w:rPr>
        <w:t>Add a Mission Alignment Tile or Score</w:t>
      </w:r>
    </w:p>
    <w:p w14:paraId="39675071" w14:textId="77777777" w:rsidR="00E24D40" w:rsidRDefault="008E2800" w:rsidP="008E2800">
      <w:pPr>
        <w:spacing w:after="0" w:line="240" w:lineRule="auto"/>
      </w:pPr>
      <w:r>
        <w:t>Include a visual indicator (e.g., green–yellow–red gauge) or short summary assessing overall mission alignment.</w:t>
      </w:r>
    </w:p>
    <w:p w14:paraId="04E56E40" w14:textId="77777777" w:rsidR="008E2800" w:rsidRDefault="008E2800" w:rsidP="008E2800">
      <w:pPr>
        <w:spacing w:after="0" w:line="240" w:lineRule="auto"/>
      </w:pPr>
    </w:p>
    <w:p w14:paraId="4B85CD33" w14:textId="09FDA66A" w:rsidR="00E24D40" w:rsidRPr="008E2800" w:rsidRDefault="008E2800" w:rsidP="008E2800">
      <w:pPr>
        <w:pStyle w:val="ListNumber"/>
        <w:numPr>
          <w:ilvl w:val="0"/>
          <w:numId w:val="10"/>
        </w:numPr>
        <w:spacing w:after="0" w:line="240" w:lineRule="auto"/>
        <w:ind w:left="360"/>
        <w:rPr>
          <w:b/>
          <w:bCs/>
        </w:rPr>
      </w:pPr>
      <w:r w:rsidRPr="008E2800">
        <w:rPr>
          <w:b/>
          <w:bCs/>
        </w:rPr>
        <w:t>Create a Mission Metrics Index (MMI)</w:t>
      </w:r>
    </w:p>
    <w:p w14:paraId="671E08AC" w14:textId="77777777" w:rsidR="00E24D40" w:rsidRDefault="008E2800" w:rsidP="008E2800">
      <w:pPr>
        <w:spacing w:after="0" w:line="240" w:lineRule="auto"/>
      </w:pPr>
      <w:r>
        <w:t>Track mission health with indicators such as stakeholder perception, program alignment, or mission-based outcome trends.</w:t>
      </w:r>
    </w:p>
    <w:p w14:paraId="0B2CED0D" w14:textId="77777777" w:rsidR="008E2800" w:rsidRDefault="008E2800" w:rsidP="008E2800">
      <w:pPr>
        <w:spacing w:after="0" w:line="240" w:lineRule="auto"/>
      </w:pPr>
    </w:p>
    <w:p w14:paraId="063FA4F3" w14:textId="171E2489" w:rsidR="00E24D40" w:rsidRPr="008E2800" w:rsidRDefault="008E2800" w:rsidP="008E2800">
      <w:pPr>
        <w:pStyle w:val="ListNumber"/>
        <w:numPr>
          <w:ilvl w:val="0"/>
          <w:numId w:val="10"/>
        </w:numPr>
        <w:spacing w:after="0" w:line="240" w:lineRule="auto"/>
        <w:ind w:left="360"/>
        <w:rPr>
          <w:b/>
          <w:bCs/>
        </w:rPr>
      </w:pPr>
      <w:r w:rsidRPr="008E2800">
        <w:rPr>
          <w:b/>
          <w:bCs/>
        </w:rPr>
        <w:t>Apply a Dual-Lens Design</w:t>
      </w:r>
    </w:p>
    <w:p w14:paraId="52A7B86C" w14:textId="77777777" w:rsidR="00E24D40" w:rsidRDefault="008E2800" w:rsidP="008E2800">
      <w:pPr>
        <w:spacing w:after="0" w:line="240" w:lineRule="auto"/>
      </w:pPr>
      <w:r>
        <w:t>Show quantitative KPIs alongside qualitative “mission evidence” (projects, stories, testimonials).</w:t>
      </w:r>
    </w:p>
    <w:p w14:paraId="60C85382" w14:textId="77777777" w:rsidR="008E2800" w:rsidRDefault="008E2800" w:rsidP="008E2800">
      <w:pPr>
        <w:spacing w:after="0" w:line="240" w:lineRule="auto"/>
      </w:pPr>
    </w:p>
    <w:p w14:paraId="075ADF47" w14:textId="63A4B16E" w:rsidR="00E24D40" w:rsidRPr="008E2800" w:rsidRDefault="008E2800" w:rsidP="008E2800">
      <w:pPr>
        <w:pStyle w:val="ListNumber"/>
        <w:numPr>
          <w:ilvl w:val="0"/>
          <w:numId w:val="10"/>
        </w:numPr>
        <w:spacing w:after="0" w:line="240" w:lineRule="auto"/>
        <w:ind w:left="360"/>
        <w:rPr>
          <w:b/>
          <w:bCs/>
        </w:rPr>
      </w:pPr>
      <w:r w:rsidRPr="008E2800">
        <w:rPr>
          <w:b/>
          <w:bCs/>
        </w:rPr>
        <w:t>Embed Mission Reflection Prompts</w:t>
      </w:r>
    </w:p>
    <w:p w14:paraId="44346AAE" w14:textId="37F297A8" w:rsidR="008E2800" w:rsidRDefault="008E2800" w:rsidP="008E2800">
      <w:pPr>
        <w:spacing w:after="0" w:line="240" w:lineRule="auto"/>
      </w:pPr>
      <w:r>
        <w:t>End each dashboard review with a mission-based question (e.g., “Do these data reflect our purpose?”).</w:t>
      </w:r>
    </w:p>
    <w:p w14:paraId="70B0CB3D" w14:textId="77777777" w:rsidR="008E2800" w:rsidRDefault="008E2800">
      <w:r>
        <w:br w:type="page"/>
      </w:r>
    </w:p>
    <w:p w14:paraId="29ED5E6B" w14:textId="77777777" w:rsidR="00E24D40" w:rsidRDefault="008E2800" w:rsidP="008E2800">
      <w:pPr>
        <w:pStyle w:val="Heading2"/>
        <w:spacing w:before="0" w:line="240" w:lineRule="auto"/>
      </w:pPr>
      <w:r>
        <w:lastRenderedPageBreak/>
        <w:t>Sample Dashboard Snapshot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7"/>
        <w:gridCol w:w="1725"/>
        <w:gridCol w:w="1725"/>
        <w:gridCol w:w="1727"/>
      </w:tblGrid>
      <w:tr w:rsidR="00E24D40" w14:paraId="0002AE1A" w14:textId="77777777" w:rsidTr="008E2800">
        <w:tc>
          <w:tcPr>
            <w:tcW w:w="1728" w:type="dxa"/>
            <w:shd w:val="clear" w:color="auto" w:fill="BFBFBF" w:themeFill="background1" w:themeFillShade="BF"/>
          </w:tcPr>
          <w:p w14:paraId="124BF41C" w14:textId="77777777" w:rsidR="00E24D40" w:rsidRDefault="008E2800" w:rsidP="008E2800">
            <w:pPr>
              <w:spacing w:after="0" w:line="240" w:lineRule="auto"/>
              <w:jc w:val="center"/>
            </w:pPr>
            <w:r>
              <w:t>Mission Pillar</w:t>
            </w:r>
          </w:p>
        </w:tc>
        <w:tc>
          <w:tcPr>
            <w:tcW w:w="1728" w:type="dxa"/>
            <w:shd w:val="clear" w:color="auto" w:fill="BFBFBF" w:themeFill="background1" w:themeFillShade="BF"/>
          </w:tcPr>
          <w:p w14:paraId="06E0835C" w14:textId="77777777" w:rsidR="00E24D40" w:rsidRDefault="008E2800" w:rsidP="008E2800">
            <w:pPr>
              <w:spacing w:after="0" w:line="240" w:lineRule="auto"/>
              <w:jc w:val="center"/>
            </w:pPr>
            <w:r>
              <w:t>Key Metric</w:t>
            </w:r>
          </w:p>
        </w:tc>
        <w:tc>
          <w:tcPr>
            <w:tcW w:w="1728" w:type="dxa"/>
            <w:shd w:val="clear" w:color="auto" w:fill="BFBFBF" w:themeFill="background1" w:themeFillShade="BF"/>
          </w:tcPr>
          <w:p w14:paraId="6E1C01D6" w14:textId="77777777" w:rsidR="00E24D40" w:rsidRDefault="008E2800" w:rsidP="008E2800">
            <w:pPr>
              <w:spacing w:after="0" w:line="240" w:lineRule="auto"/>
              <w:jc w:val="center"/>
            </w:pPr>
            <w:r>
              <w:t>Target</w:t>
            </w:r>
          </w:p>
        </w:tc>
        <w:tc>
          <w:tcPr>
            <w:tcW w:w="1728" w:type="dxa"/>
            <w:shd w:val="clear" w:color="auto" w:fill="BFBFBF" w:themeFill="background1" w:themeFillShade="BF"/>
          </w:tcPr>
          <w:p w14:paraId="437F6F65" w14:textId="77777777" w:rsidR="00E24D40" w:rsidRDefault="008E2800" w:rsidP="008E2800">
            <w:pPr>
              <w:spacing w:after="0" w:line="240" w:lineRule="auto"/>
              <w:jc w:val="center"/>
            </w:pPr>
            <w:r>
              <w:t>Current</w:t>
            </w:r>
          </w:p>
        </w:tc>
        <w:tc>
          <w:tcPr>
            <w:tcW w:w="1728" w:type="dxa"/>
            <w:shd w:val="clear" w:color="auto" w:fill="BFBFBF" w:themeFill="background1" w:themeFillShade="BF"/>
          </w:tcPr>
          <w:p w14:paraId="0AE14AE3" w14:textId="77777777" w:rsidR="00E24D40" w:rsidRDefault="008E2800" w:rsidP="008E2800">
            <w:pPr>
              <w:spacing w:after="0" w:line="240" w:lineRule="auto"/>
              <w:jc w:val="center"/>
            </w:pPr>
            <w:r>
              <w:t>Mission Reflection</w:t>
            </w:r>
          </w:p>
        </w:tc>
      </w:tr>
      <w:tr w:rsidR="00E24D40" w14:paraId="45BC680A" w14:textId="77777777" w:rsidTr="008E2800">
        <w:tc>
          <w:tcPr>
            <w:tcW w:w="1728" w:type="dxa"/>
          </w:tcPr>
          <w:p w14:paraId="01DDC170" w14:textId="77777777" w:rsidR="00E24D40" w:rsidRDefault="008E2800" w:rsidP="008E2800">
            <w:pPr>
              <w:spacing w:after="0" w:line="240" w:lineRule="auto"/>
            </w:pPr>
            <w:r>
              <w:t>College &amp; Career Readiness</w:t>
            </w:r>
          </w:p>
        </w:tc>
        <w:tc>
          <w:tcPr>
            <w:tcW w:w="1728" w:type="dxa"/>
          </w:tcPr>
          <w:p w14:paraId="33529CB0" w14:textId="77777777" w:rsidR="00E24D40" w:rsidRDefault="008E2800" w:rsidP="008E2800">
            <w:pPr>
              <w:spacing w:after="0" w:line="240" w:lineRule="auto"/>
            </w:pPr>
            <w:r>
              <w:t>% students completing advanced coursework</w:t>
            </w:r>
          </w:p>
        </w:tc>
        <w:tc>
          <w:tcPr>
            <w:tcW w:w="1728" w:type="dxa"/>
          </w:tcPr>
          <w:p w14:paraId="0351D9B1" w14:textId="77777777" w:rsidR="00E24D40" w:rsidRDefault="008E2800" w:rsidP="008E2800">
            <w:pPr>
              <w:spacing w:after="0" w:line="240" w:lineRule="auto"/>
            </w:pPr>
            <w:r>
              <w:t>85%</w:t>
            </w:r>
          </w:p>
        </w:tc>
        <w:tc>
          <w:tcPr>
            <w:tcW w:w="1728" w:type="dxa"/>
          </w:tcPr>
          <w:p w14:paraId="76190CD3" w14:textId="77777777" w:rsidR="00E24D40" w:rsidRDefault="008E2800" w:rsidP="008E2800">
            <w:pPr>
              <w:spacing w:after="0" w:line="240" w:lineRule="auto"/>
            </w:pPr>
            <w:r>
              <w:t>82%</w:t>
            </w:r>
          </w:p>
        </w:tc>
        <w:tc>
          <w:tcPr>
            <w:tcW w:w="1728" w:type="dxa"/>
          </w:tcPr>
          <w:p w14:paraId="3A0DFD55" w14:textId="77777777" w:rsidR="00E24D40" w:rsidRDefault="008E2800" w:rsidP="008E2800">
            <w:pPr>
              <w:spacing w:after="0" w:line="240" w:lineRule="auto"/>
            </w:pPr>
            <w:r>
              <w:t>Are our supports equitable across student groups?</w:t>
            </w:r>
          </w:p>
        </w:tc>
      </w:tr>
      <w:tr w:rsidR="00E24D40" w14:paraId="2FFBD068" w14:textId="77777777" w:rsidTr="008E2800">
        <w:tc>
          <w:tcPr>
            <w:tcW w:w="1728" w:type="dxa"/>
          </w:tcPr>
          <w:p w14:paraId="67F03061" w14:textId="77777777" w:rsidR="00E24D40" w:rsidRDefault="008E2800" w:rsidP="008E2800">
            <w:pPr>
              <w:spacing w:after="0" w:line="240" w:lineRule="auto"/>
            </w:pPr>
            <w:r>
              <w:t>Community Engagement</w:t>
            </w:r>
          </w:p>
        </w:tc>
        <w:tc>
          <w:tcPr>
            <w:tcW w:w="1728" w:type="dxa"/>
          </w:tcPr>
          <w:p w14:paraId="047CF6E6" w14:textId="77777777" w:rsidR="00E24D40" w:rsidRDefault="008E2800" w:rsidP="008E2800">
            <w:pPr>
              <w:spacing w:after="0" w:line="240" w:lineRule="auto"/>
            </w:pPr>
            <w:r>
              <w:t>% parent participation in mission events</w:t>
            </w:r>
          </w:p>
        </w:tc>
        <w:tc>
          <w:tcPr>
            <w:tcW w:w="1728" w:type="dxa"/>
          </w:tcPr>
          <w:p w14:paraId="49187A1F" w14:textId="77777777" w:rsidR="00E24D40" w:rsidRDefault="008E2800" w:rsidP="008E2800">
            <w:pPr>
              <w:spacing w:after="0" w:line="240" w:lineRule="auto"/>
            </w:pPr>
            <w:r>
              <w:t>60%</w:t>
            </w:r>
          </w:p>
        </w:tc>
        <w:tc>
          <w:tcPr>
            <w:tcW w:w="1728" w:type="dxa"/>
          </w:tcPr>
          <w:p w14:paraId="4B11C350" w14:textId="77777777" w:rsidR="00E24D40" w:rsidRDefault="008E2800" w:rsidP="008E2800">
            <w:pPr>
              <w:spacing w:after="0" w:line="240" w:lineRule="auto"/>
            </w:pPr>
            <w:r>
              <w:t>72%</w:t>
            </w:r>
          </w:p>
        </w:tc>
        <w:tc>
          <w:tcPr>
            <w:tcW w:w="1728" w:type="dxa"/>
          </w:tcPr>
          <w:p w14:paraId="037EBBEB" w14:textId="77777777" w:rsidR="00E24D40" w:rsidRDefault="008E2800" w:rsidP="008E2800">
            <w:pPr>
              <w:spacing w:after="0" w:line="240" w:lineRule="auto"/>
            </w:pPr>
            <w:r>
              <w:t>How can we sustain this engagement level?</w:t>
            </w:r>
          </w:p>
        </w:tc>
      </w:tr>
    </w:tbl>
    <w:p w14:paraId="30C79CFC" w14:textId="77777777" w:rsidR="008E2800" w:rsidRDefault="008E2800" w:rsidP="008E2800">
      <w:pPr>
        <w:pStyle w:val="Heading2"/>
        <w:spacing w:before="0" w:line="240" w:lineRule="auto"/>
      </w:pPr>
    </w:p>
    <w:p w14:paraId="6A76FBCC" w14:textId="4971E0BD" w:rsidR="00E24D40" w:rsidRDefault="008E2800" w:rsidP="008E2800">
      <w:pPr>
        <w:pStyle w:val="Heading2"/>
        <w:spacing w:before="0" w:line="240" w:lineRule="auto"/>
      </w:pPr>
      <w:r>
        <w:t>Quick Takeaway</w:t>
      </w:r>
    </w:p>
    <w:p w14:paraId="71A6AF07" w14:textId="77777777" w:rsidR="00E24D40" w:rsidRDefault="008E2800" w:rsidP="008E2800">
      <w:pPr>
        <w:spacing w:after="0" w:line="240" w:lineRule="auto"/>
      </w:pPr>
      <w:r>
        <w:t>When mission metrics appear beside operational metrics, boards are reminded that success is measured not only by performance—but by purpose.</w:t>
      </w:r>
    </w:p>
    <w:sectPr w:rsidR="00E24D40" w:rsidSect="008E2800">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1C59" w14:textId="77777777" w:rsidR="00325369" w:rsidRDefault="00325369" w:rsidP="008E2800">
      <w:pPr>
        <w:spacing w:after="0" w:line="240" w:lineRule="auto"/>
      </w:pPr>
      <w:r>
        <w:separator/>
      </w:r>
    </w:p>
  </w:endnote>
  <w:endnote w:type="continuationSeparator" w:id="0">
    <w:p w14:paraId="2935033D" w14:textId="77777777" w:rsidR="00325369" w:rsidRDefault="00325369" w:rsidP="008E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E225" w14:textId="6F370FE8" w:rsidR="008E2800" w:rsidRDefault="008E2800">
    <w:pPr>
      <w:pStyle w:val="Footer"/>
    </w:pPr>
    <w:r>
      <w:t>Webinar:  Leading with Purpose:  Mission-Driven Decision-Making</w:t>
    </w:r>
  </w:p>
  <w:p w14:paraId="3B21AA54" w14:textId="58828DD7" w:rsidR="008E2800" w:rsidRDefault="008E2800">
    <w:pPr>
      <w:pStyle w:val="Footer"/>
    </w:pPr>
    <w:r>
      <w:t>Integrating Mission Metrics into Dashboards</w:t>
    </w:r>
  </w:p>
  <w:p w14:paraId="41CA0BD7" w14:textId="0C0BAD46" w:rsidR="008E2800" w:rsidRDefault="008E2800">
    <w:pPr>
      <w:pStyle w:val="Footer"/>
    </w:pPr>
    <w:r>
      <w:t>October 2025</w:t>
    </w:r>
  </w:p>
  <w:p w14:paraId="08FC2DD7" w14:textId="5841436D" w:rsidR="008E2800" w:rsidRDefault="008E2800">
    <w:pPr>
      <w:pStyle w:val="Footer"/>
    </w:pPr>
    <w:r>
      <w:t xml:space="preserve">Page </w:t>
    </w:r>
    <w:r>
      <w:fldChar w:fldCharType="begin"/>
    </w:r>
    <w:r>
      <w:instrText xml:space="preserve"> PAGE   \* MERGEFORMAT </w:instrText>
    </w:r>
    <w:r>
      <w:fldChar w:fldCharType="separate"/>
    </w:r>
    <w:r w:rsidR="003D13E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6776" w14:textId="77777777" w:rsidR="00325369" w:rsidRDefault="00325369" w:rsidP="008E2800">
      <w:pPr>
        <w:spacing w:after="0" w:line="240" w:lineRule="auto"/>
      </w:pPr>
      <w:r>
        <w:separator/>
      </w:r>
    </w:p>
  </w:footnote>
  <w:footnote w:type="continuationSeparator" w:id="0">
    <w:p w14:paraId="6C5FFD48" w14:textId="77777777" w:rsidR="00325369" w:rsidRDefault="00325369" w:rsidP="008E2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C44367"/>
    <w:multiLevelType w:val="hybridMultilevel"/>
    <w:tmpl w:val="1734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5369"/>
    <w:rsid w:val="00326F90"/>
    <w:rsid w:val="003D13E0"/>
    <w:rsid w:val="005202FA"/>
    <w:rsid w:val="008E2800"/>
    <w:rsid w:val="00AA1D8D"/>
    <w:rsid w:val="00B47730"/>
    <w:rsid w:val="00CB0664"/>
    <w:rsid w:val="00E24D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EDEC1"/>
  <w14:defaultImageDpi w14:val="300"/>
  <w15:docId w15:val="{68426F4F-15E5-443A-84DC-D0FEBC4F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F6CD-AB68-49FF-98CF-EE096373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Oshelski</cp:lastModifiedBy>
  <cp:revision>2</cp:revision>
  <dcterms:created xsi:type="dcterms:W3CDTF">2025-10-17T12:53:00Z</dcterms:created>
  <dcterms:modified xsi:type="dcterms:W3CDTF">2025-10-17T12:53:00Z</dcterms:modified>
  <cp:category/>
</cp:coreProperties>
</file>