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B22" w:rsidRDefault="007A4B22">
      <w:pPr>
        <w:rPr>
          <w:b/>
          <w:sz w:val="28"/>
          <w:szCs w:val="28"/>
        </w:rPr>
      </w:pPr>
    </w:p>
    <w:p w:rsidR="007A4B22" w:rsidRDefault="007A4B22">
      <w:pPr>
        <w:rPr>
          <w:b/>
          <w:sz w:val="28"/>
          <w:szCs w:val="28"/>
        </w:rPr>
      </w:pPr>
    </w:p>
    <w:p w:rsidR="0026268A" w:rsidRDefault="00DC7590">
      <w:pPr>
        <w:rPr>
          <w:b/>
          <w:sz w:val="28"/>
          <w:szCs w:val="28"/>
        </w:rPr>
      </w:pPr>
      <w:r>
        <w:rPr>
          <w:b/>
          <w:sz w:val="28"/>
          <w:szCs w:val="28"/>
        </w:rPr>
        <w:t>General Education Diversity Outcome: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FORM A: faculty report</w:t>
      </w:r>
    </w:p>
    <w:p w:rsidR="0026268A" w:rsidRDefault="00DC7590">
      <w:pPr>
        <w:spacing w:line="256" w:lineRule="auto"/>
        <w:rPr>
          <w:color w:val="000000"/>
          <w:highlight w:val="white"/>
        </w:rPr>
      </w:pPr>
      <w:r>
        <w:rPr>
          <w:sz w:val="24"/>
          <w:szCs w:val="24"/>
        </w:rPr>
        <w:t xml:space="preserve">LSSU graduates will be able </w:t>
      </w:r>
      <w:r>
        <w:rPr>
          <w:color w:val="000000"/>
          <w:sz w:val="24"/>
          <w:szCs w:val="24"/>
          <w:highlight w:val="white"/>
        </w:rPr>
        <w:t>to </w:t>
      </w:r>
      <w:r>
        <w:rPr>
          <w:sz w:val="24"/>
          <w:szCs w:val="24"/>
        </w:rPr>
        <w:t>view the world from cultural* perspectives other than their own</w:t>
      </w:r>
      <w:r>
        <w:rPr>
          <w:color w:val="000000"/>
          <w:sz w:val="24"/>
          <w:szCs w:val="24"/>
          <w:highlight w:val="white"/>
        </w:rPr>
        <w:t>.</w:t>
      </w:r>
      <w:r>
        <w:rPr>
          <w:color w:val="000000"/>
          <w:highlight w:val="white"/>
        </w:rPr>
        <w:t> </w:t>
      </w:r>
    </w:p>
    <w:p w:rsidR="0095578A" w:rsidRDefault="0095578A">
      <w:pPr>
        <w:spacing w:line="256" w:lineRule="auto"/>
        <w:rPr>
          <w:color w:val="000000"/>
          <w:highlight w:val="white"/>
        </w:rPr>
      </w:pPr>
    </w:p>
    <w:p w:rsidR="0095578A" w:rsidRPr="0095578A" w:rsidRDefault="0095578A">
      <w:pPr>
        <w:spacing w:line="256" w:lineRule="auto"/>
        <w:rPr>
          <w:color w:val="000000"/>
          <w:sz w:val="24"/>
          <w:szCs w:val="24"/>
          <w:highlight w:val="white"/>
        </w:rPr>
      </w:pPr>
      <w:r w:rsidRPr="0095578A">
        <w:rPr>
          <w:color w:val="000000"/>
          <w:sz w:val="24"/>
          <w:szCs w:val="24"/>
        </w:rPr>
        <w:t>This assessment maps to LSSU’s Institutional Learning Outcomes by addressing ILO 5: Intercultural Competence.</w:t>
      </w:r>
    </w:p>
    <w:p w:rsidR="0026268A" w:rsidRDefault="0026268A">
      <w:pPr>
        <w:spacing w:line="256" w:lineRule="auto"/>
        <w:rPr>
          <w:color w:val="000000"/>
          <w:highlight w:val="white"/>
        </w:rPr>
      </w:pPr>
    </w:p>
    <w:p w:rsidR="0026268A" w:rsidRDefault="00DC7590">
      <w:pPr>
        <w:spacing w:line="256" w:lineRule="auto"/>
        <w:rPr>
          <w:sz w:val="24"/>
          <w:szCs w:val="24"/>
        </w:rPr>
      </w:pPr>
      <w:r>
        <w:rPr>
          <w:b/>
          <w:sz w:val="24"/>
          <w:szCs w:val="24"/>
        </w:rPr>
        <w:t>Target Outcome:</w:t>
      </w:r>
      <w:r>
        <w:rPr>
          <w:i/>
          <w:sz w:val="24"/>
          <w:szCs w:val="24"/>
        </w:rPr>
        <w:t xml:space="preserve">   </w:t>
      </w:r>
      <w:r>
        <w:rPr>
          <w:sz w:val="24"/>
          <w:szCs w:val="24"/>
        </w:rPr>
        <w:t>80% of students will achieve or exceed Level 2 competency.</w:t>
      </w:r>
    </w:p>
    <w:p w:rsidR="0026268A" w:rsidRDefault="00DC7590">
      <w:pPr>
        <w:rPr>
          <w:sz w:val="24"/>
          <w:szCs w:val="24"/>
        </w:rPr>
      </w:pPr>
      <w:r>
        <w:rPr>
          <w:b/>
          <w:sz w:val="24"/>
          <w:szCs w:val="24"/>
        </w:rPr>
        <w:t xml:space="preserve">Bloom’s Taxonomy Level for Assessment:  </w:t>
      </w:r>
      <w:r>
        <w:rPr>
          <w:i/>
          <w:sz w:val="24"/>
          <w:szCs w:val="24"/>
        </w:rPr>
        <w:t>Analyze</w:t>
      </w:r>
    </w:p>
    <w:p w:rsidR="0026268A" w:rsidRDefault="0026268A">
      <w:pPr>
        <w:spacing w:line="256" w:lineRule="auto"/>
        <w:rPr>
          <w:sz w:val="24"/>
          <w:szCs w:val="24"/>
        </w:rPr>
      </w:pPr>
    </w:p>
    <w:p w:rsidR="0026268A" w:rsidRPr="007F6F63" w:rsidRDefault="00DC7590" w:rsidP="001811AC">
      <w:pPr>
        <w:rPr>
          <w:b/>
          <w:sz w:val="24"/>
          <w:szCs w:val="24"/>
          <w:u w:val="single"/>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F6F63">
        <w:rPr>
          <w:b/>
          <w:sz w:val="24"/>
          <w:szCs w:val="24"/>
          <w:u w:val="single"/>
        </w:rPr>
        <w:t>EXPECTED</w:t>
      </w:r>
      <w:r w:rsidR="001811AC" w:rsidRPr="007F6F63">
        <w:rPr>
          <w:b/>
          <w:sz w:val="24"/>
          <w:szCs w:val="24"/>
          <w:u w:val="single"/>
        </w:rPr>
        <w:t xml:space="preserve"> </w:t>
      </w:r>
      <w:r w:rsidRPr="007F6F63">
        <w:rPr>
          <w:b/>
          <w:color w:val="000000"/>
          <w:sz w:val="24"/>
          <w:szCs w:val="24"/>
          <w:u w:val="single"/>
        </w:rPr>
        <w:t>OUTCOME:</w:t>
      </w:r>
    </w:p>
    <w:p w:rsidR="0026268A" w:rsidRDefault="0026268A">
      <w:pPr>
        <w:pBdr>
          <w:top w:val="nil"/>
          <w:left w:val="nil"/>
          <w:bottom w:val="nil"/>
          <w:right w:val="nil"/>
          <w:between w:val="nil"/>
        </w:pBdr>
        <w:spacing w:line="204" w:lineRule="auto"/>
        <w:rPr>
          <w:color w:val="000000"/>
          <w:sz w:val="18"/>
          <w:szCs w:val="18"/>
        </w:rPr>
      </w:pPr>
    </w:p>
    <w:tbl>
      <w:tblPr>
        <w:tblStyle w:val="a"/>
        <w:tblW w:w="1440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2"/>
        <w:gridCol w:w="3060"/>
        <w:gridCol w:w="3330"/>
        <w:gridCol w:w="3330"/>
        <w:gridCol w:w="3168"/>
      </w:tblGrid>
      <w:tr w:rsidR="00DC2F0F" w:rsidTr="007F6F63">
        <w:tc>
          <w:tcPr>
            <w:tcW w:w="1512" w:type="dxa"/>
            <w:tcBorders>
              <w:top w:val="nil"/>
              <w:left w:val="nil"/>
              <w:bottom w:val="single" w:sz="4" w:space="0" w:color="000000"/>
              <w:right w:val="single" w:sz="4" w:space="0" w:color="auto"/>
            </w:tcBorders>
            <w:vAlign w:val="center"/>
          </w:tcPr>
          <w:p w:rsidR="00DC2F0F" w:rsidRDefault="00DC2F0F">
            <w:pPr>
              <w:rPr>
                <w:b/>
                <w:sz w:val="24"/>
                <w:szCs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DC2F0F" w:rsidRDefault="00DC2F0F" w:rsidP="00DC2F0F">
            <w:pPr>
              <w:jc w:val="center"/>
              <w:rPr>
                <w:b/>
                <w:sz w:val="24"/>
                <w:szCs w:val="24"/>
              </w:rPr>
            </w:pPr>
            <w:r>
              <w:rPr>
                <w:b/>
                <w:sz w:val="24"/>
                <w:szCs w:val="24"/>
              </w:rPr>
              <w:t>3 - Masters</w:t>
            </w:r>
          </w:p>
        </w:tc>
        <w:tc>
          <w:tcPr>
            <w:tcW w:w="3330" w:type="dxa"/>
            <w:tcBorders>
              <w:top w:val="single" w:sz="4" w:space="0" w:color="auto"/>
              <w:left w:val="single" w:sz="4" w:space="0" w:color="auto"/>
              <w:bottom w:val="single" w:sz="4" w:space="0" w:color="auto"/>
              <w:right w:val="single" w:sz="4" w:space="0" w:color="auto"/>
            </w:tcBorders>
            <w:vAlign w:val="center"/>
          </w:tcPr>
          <w:p w:rsidR="00DC2F0F" w:rsidRDefault="00DC2F0F" w:rsidP="00DC2F0F">
            <w:pPr>
              <w:jc w:val="center"/>
              <w:rPr>
                <w:b/>
                <w:sz w:val="24"/>
                <w:szCs w:val="24"/>
              </w:rPr>
            </w:pPr>
            <w:r>
              <w:rPr>
                <w:b/>
                <w:sz w:val="24"/>
                <w:szCs w:val="24"/>
              </w:rPr>
              <w:t>2 – Meets</w:t>
            </w:r>
          </w:p>
        </w:tc>
        <w:tc>
          <w:tcPr>
            <w:tcW w:w="3330" w:type="dxa"/>
            <w:tcBorders>
              <w:top w:val="single" w:sz="4" w:space="0" w:color="auto"/>
              <w:left w:val="single" w:sz="4" w:space="0" w:color="auto"/>
              <w:right w:val="single" w:sz="4" w:space="0" w:color="auto"/>
            </w:tcBorders>
            <w:vAlign w:val="center"/>
          </w:tcPr>
          <w:p w:rsidR="00DC2F0F" w:rsidRDefault="00DC2F0F" w:rsidP="00DC2F0F">
            <w:pPr>
              <w:jc w:val="center"/>
              <w:rPr>
                <w:b/>
                <w:sz w:val="24"/>
                <w:szCs w:val="24"/>
              </w:rPr>
            </w:pPr>
            <w:r>
              <w:rPr>
                <w:b/>
                <w:sz w:val="24"/>
                <w:szCs w:val="24"/>
              </w:rPr>
              <w:t xml:space="preserve">1 – Progressing </w:t>
            </w:r>
          </w:p>
        </w:tc>
        <w:tc>
          <w:tcPr>
            <w:tcW w:w="3168" w:type="dxa"/>
            <w:tcBorders>
              <w:top w:val="single" w:sz="4" w:space="0" w:color="auto"/>
              <w:left w:val="single" w:sz="4" w:space="0" w:color="auto"/>
              <w:right w:val="single" w:sz="4" w:space="0" w:color="auto"/>
            </w:tcBorders>
          </w:tcPr>
          <w:p w:rsidR="00DC2F0F" w:rsidRDefault="00DC2F0F" w:rsidP="00DC2F0F">
            <w:pPr>
              <w:jc w:val="center"/>
              <w:rPr>
                <w:b/>
                <w:sz w:val="24"/>
                <w:szCs w:val="24"/>
              </w:rPr>
            </w:pPr>
            <w:r>
              <w:rPr>
                <w:b/>
                <w:sz w:val="24"/>
                <w:szCs w:val="24"/>
              </w:rPr>
              <w:t>0 – Does Not Meet</w:t>
            </w:r>
          </w:p>
        </w:tc>
      </w:tr>
      <w:tr w:rsidR="00DC2F0F" w:rsidTr="007F6F63">
        <w:trPr>
          <w:trHeight w:val="1565"/>
        </w:trPr>
        <w:tc>
          <w:tcPr>
            <w:tcW w:w="1512" w:type="dxa"/>
            <w:vMerge w:val="restart"/>
            <w:tcBorders>
              <w:top w:val="single" w:sz="4" w:space="0" w:color="000000"/>
              <w:left w:val="single" w:sz="4" w:space="0" w:color="000000"/>
              <w:right w:val="single" w:sz="4" w:space="0" w:color="auto"/>
            </w:tcBorders>
            <w:vAlign w:val="center"/>
          </w:tcPr>
          <w:p w:rsidR="00DC2F0F" w:rsidRDefault="00DC2F0F">
            <w:pPr>
              <w:rPr>
                <w:b/>
              </w:rPr>
            </w:pPr>
            <w:r>
              <w:rPr>
                <w:b/>
              </w:rPr>
              <w:t>Global Understanding</w:t>
            </w:r>
          </w:p>
        </w:tc>
        <w:tc>
          <w:tcPr>
            <w:tcW w:w="3060" w:type="dxa"/>
            <w:tcBorders>
              <w:top w:val="single" w:sz="4" w:space="0" w:color="auto"/>
              <w:left w:val="single" w:sz="4" w:space="0" w:color="auto"/>
              <w:bottom w:val="single" w:sz="4" w:space="0" w:color="auto"/>
              <w:right w:val="single" w:sz="4" w:space="0" w:color="auto"/>
            </w:tcBorders>
            <w:vAlign w:val="center"/>
          </w:tcPr>
          <w:p w:rsidR="00DC2F0F" w:rsidRDefault="00DC2F0F">
            <w:pPr>
              <w:widowControl w:val="0"/>
              <w:rPr>
                <w:rFonts w:ascii="Times" w:eastAsia="Times" w:hAnsi="Times" w:cs="Times"/>
                <w:color w:val="000000"/>
                <w:sz w:val="24"/>
                <w:szCs w:val="24"/>
              </w:rPr>
            </w:pPr>
            <w:r>
              <w:rPr>
                <w:color w:val="000000"/>
                <w:sz w:val="24"/>
                <w:szCs w:val="24"/>
                <w:highlight w:val="white"/>
              </w:rPr>
              <w:t>Student effectively describes or responds to a scenario from the perspective of a culture</w:t>
            </w:r>
            <w:r>
              <w:rPr>
                <w:b/>
                <w:color w:val="000000"/>
                <w:sz w:val="24"/>
                <w:szCs w:val="24"/>
                <w:highlight w:val="white"/>
              </w:rPr>
              <w:t>* </w:t>
            </w:r>
            <w:r>
              <w:rPr>
                <w:color w:val="000000"/>
                <w:sz w:val="24"/>
                <w:szCs w:val="24"/>
                <w:highlight w:val="white"/>
              </w:rPr>
              <w:t>other than their own. </w:t>
            </w:r>
          </w:p>
        </w:tc>
        <w:tc>
          <w:tcPr>
            <w:tcW w:w="3330" w:type="dxa"/>
            <w:tcBorders>
              <w:top w:val="single" w:sz="4" w:space="0" w:color="auto"/>
              <w:left w:val="single" w:sz="4" w:space="0" w:color="auto"/>
              <w:bottom w:val="single" w:sz="4" w:space="0" w:color="auto"/>
              <w:right w:val="single" w:sz="4" w:space="0" w:color="auto"/>
            </w:tcBorders>
            <w:vAlign w:val="center"/>
          </w:tcPr>
          <w:p w:rsidR="00DC2F0F" w:rsidRDefault="00DC2F0F">
            <w:pPr>
              <w:widowControl w:val="0"/>
              <w:rPr>
                <w:color w:val="000000"/>
                <w:sz w:val="24"/>
                <w:szCs w:val="24"/>
                <w:highlight w:val="white"/>
              </w:rPr>
            </w:pPr>
            <w:r>
              <w:rPr>
                <w:color w:val="000000"/>
                <w:sz w:val="24"/>
                <w:szCs w:val="24"/>
                <w:highlight w:val="white"/>
              </w:rPr>
              <w:t>Student describes or responds to a scenario as an outside perspective describing another culture. </w:t>
            </w:r>
          </w:p>
          <w:p w:rsidR="00DC2F0F" w:rsidRDefault="00DC2F0F">
            <w:pPr>
              <w:widowControl w:val="0"/>
              <w:rPr>
                <w:color w:val="000000"/>
                <w:sz w:val="24"/>
                <w:szCs w:val="24"/>
                <w:highlight w:val="white"/>
              </w:rPr>
            </w:pPr>
          </w:p>
          <w:p w:rsidR="00DC2F0F" w:rsidRDefault="00DC2F0F">
            <w:pPr>
              <w:widowControl w:val="0"/>
              <w:jc w:val="center"/>
              <w:rPr>
                <w:rFonts w:ascii="Times" w:eastAsia="Times" w:hAnsi="Times" w:cs="Times"/>
                <w:b/>
                <w:i/>
                <w:color w:val="000000"/>
                <w:sz w:val="24"/>
                <w:szCs w:val="24"/>
                <w:u w:val="single"/>
              </w:rPr>
            </w:pPr>
            <w:r>
              <w:rPr>
                <w:b/>
                <w:i/>
                <w:sz w:val="24"/>
                <w:szCs w:val="24"/>
                <w:highlight w:val="white"/>
              </w:rPr>
              <w:t>or</w:t>
            </w:r>
          </w:p>
        </w:tc>
        <w:tc>
          <w:tcPr>
            <w:tcW w:w="3330" w:type="dxa"/>
            <w:tcBorders>
              <w:left w:val="single" w:sz="4" w:space="0" w:color="auto"/>
              <w:right w:val="single" w:sz="4" w:space="0" w:color="auto"/>
            </w:tcBorders>
            <w:vAlign w:val="center"/>
          </w:tcPr>
          <w:p w:rsidR="001811AC" w:rsidRPr="001811AC" w:rsidRDefault="001811AC" w:rsidP="001811AC">
            <w:pPr>
              <w:widowControl w:val="0"/>
              <w:rPr>
                <w:sz w:val="24"/>
                <w:szCs w:val="24"/>
              </w:rPr>
            </w:pPr>
            <w:r w:rsidRPr="001811AC">
              <w:rPr>
                <w:sz w:val="24"/>
                <w:szCs w:val="24"/>
              </w:rPr>
              <w:t>Student attempts to adopt the cultural perspective, but responses lack depth or complexity.</w:t>
            </w:r>
          </w:p>
          <w:p w:rsidR="00DC2F0F" w:rsidRDefault="00DC2F0F">
            <w:pPr>
              <w:widowControl w:val="0"/>
              <w:rPr>
                <w:color w:val="000000"/>
                <w:sz w:val="24"/>
                <w:szCs w:val="24"/>
                <w:highlight w:val="white"/>
              </w:rPr>
            </w:pPr>
          </w:p>
          <w:p w:rsidR="00DC2F0F" w:rsidRDefault="00DC2F0F">
            <w:pPr>
              <w:widowControl w:val="0"/>
              <w:jc w:val="center"/>
              <w:rPr>
                <w:rFonts w:ascii="Times" w:eastAsia="Times" w:hAnsi="Times" w:cs="Times"/>
                <w:color w:val="000000"/>
                <w:sz w:val="24"/>
                <w:szCs w:val="24"/>
              </w:rPr>
            </w:pPr>
            <w:r>
              <w:rPr>
                <w:b/>
                <w:i/>
                <w:sz w:val="24"/>
                <w:szCs w:val="24"/>
                <w:highlight w:val="white"/>
              </w:rPr>
              <w:t>or</w:t>
            </w:r>
          </w:p>
        </w:tc>
        <w:tc>
          <w:tcPr>
            <w:tcW w:w="3168" w:type="dxa"/>
            <w:tcBorders>
              <w:left w:val="single" w:sz="4" w:space="0" w:color="auto"/>
              <w:right w:val="single" w:sz="4" w:space="0" w:color="auto"/>
            </w:tcBorders>
          </w:tcPr>
          <w:p w:rsidR="00DC2F0F" w:rsidRDefault="00F047E2">
            <w:pPr>
              <w:widowControl w:val="0"/>
              <w:rPr>
                <w:color w:val="000000"/>
                <w:sz w:val="24"/>
                <w:szCs w:val="24"/>
                <w:highlight w:val="white"/>
              </w:rPr>
            </w:pPr>
            <w:r>
              <w:rPr>
                <w:color w:val="000000"/>
                <w:sz w:val="24"/>
                <w:szCs w:val="24"/>
                <w:highlight w:val="white"/>
              </w:rPr>
              <w:t>Student is unable to describe or respond to a scenario relating to a perspective other than their own.</w:t>
            </w:r>
          </w:p>
        </w:tc>
      </w:tr>
      <w:tr w:rsidR="00DC2F0F" w:rsidTr="007F6F63">
        <w:trPr>
          <w:trHeight w:val="1448"/>
        </w:trPr>
        <w:tc>
          <w:tcPr>
            <w:tcW w:w="1512" w:type="dxa"/>
            <w:vMerge/>
            <w:tcBorders>
              <w:top w:val="single" w:sz="4" w:space="0" w:color="000000"/>
              <w:left w:val="single" w:sz="4" w:space="0" w:color="000000"/>
              <w:right w:val="single" w:sz="4" w:space="0" w:color="auto"/>
            </w:tcBorders>
            <w:vAlign w:val="center"/>
          </w:tcPr>
          <w:p w:rsidR="00DC2F0F" w:rsidRDefault="00DC2F0F">
            <w:pPr>
              <w:widowControl w:val="0"/>
              <w:pBdr>
                <w:top w:val="nil"/>
                <w:left w:val="nil"/>
                <w:bottom w:val="nil"/>
                <w:right w:val="nil"/>
                <w:between w:val="nil"/>
              </w:pBdr>
              <w:spacing w:line="276" w:lineRule="auto"/>
              <w:rPr>
                <w:rFonts w:ascii="Times" w:eastAsia="Times" w:hAnsi="Times" w:cs="Times"/>
                <w:color w:val="000000"/>
                <w:sz w:val="24"/>
                <w:szCs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DC2F0F" w:rsidRDefault="00DC2F0F">
            <w:pPr>
              <w:widowControl w:val="0"/>
              <w:rPr>
                <w:rFonts w:ascii="Times" w:eastAsia="Times" w:hAnsi="Times" w:cs="Times"/>
                <w:color w:val="000000"/>
                <w:sz w:val="24"/>
                <w:szCs w:val="24"/>
              </w:rPr>
            </w:pPr>
            <w:r>
              <w:rPr>
                <w:color w:val="000000"/>
                <w:sz w:val="24"/>
                <w:szCs w:val="24"/>
                <w:highlight w:val="white"/>
              </w:rPr>
              <w:t>The perspective is culturally appropriate and values the uniqueness of the individual. </w:t>
            </w:r>
          </w:p>
        </w:tc>
        <w:tc>
          <w:tcPr>
            <w:tcW w:w="3330" w:type="dxa"/>
            <w:tcBorders>
              <w:top w:val="single" w:sz="4" w:space="0" w:color="auto"/>
              <w:left w:val="single" w:sz="4" w:space="0" w:color="auto"/>
              <w:bottom w:val="single" w:sz="4" w:space="0" w:color="auto"/>
              <w:right w:val="single" w:sz="4" w:space="0" w:color="auto"/>
            </w:tcBorders>
            <w:vAlign w:val="center"/>
          </w:tcPr>
          <w:p w:rsidR="00DC2F0F" w:rsidRDefault="00DC2F0F">
            <w:pPr>
              <w:widowControl w:val="0"/>
              <w:rPr>
                <w:rFonts w:ascii="Times" w:eastAsia="Times" w:hAnsi="Times" w:cs="Times"/>
                <w:color w:val="000000"/>
                <w:sz w:val="24"/>
                <w:szCs w:val="24"/>
              </w:rPr>
            </w:pPr>
            <w:r>
              <w:rPr>
                <w:color w:val="000000"/>
                <w:sz w:val="24"/>
                <w:szCs w:val="24"/>
                <w:highlight w:val="white"/>
              </w:rPr>
              <w:t>Student describes or responds to a scenario from a different perspective but comes from a position of common stereotypes. </w:t>
            </w:r>
          </w:p>
        </w:tc>
        <w:tc>
          <w:tcPr>
            <w:tcW w:w="3330" w:type="dxa"/>
            <w:tcBorders>
              <w:left w:val="single" w:sz="4" w:space="0" w:color="auto"/>
              <w:bottom w:val="single" w:sz="4" w:space="0" w:color="auto"/>
              <w:right w:val="single" w:sz="4" w:space="0" w:color="auto"/>
            </w:tcBorders>
            <w:vAlign w:val="center"/>
          </w:tcPr>
          <w:p w:rsidR="00DC2F0F" w:rsidRDefault="001811AC">
            <w:pPr>
              <w:widowControl w:val="0"/>
              <w:rPr>
                <w:rFonts w:ascii="Times" w:eastAsia="Times" w:hAnsi="Times" w:cs="Times"/>
                <w:color w:val="000000"/>
                <w:sz w:val="24"/>
                <w:szCs w:val="24"/>
              </w:rPr>
            </w:pPr>
            <w:r w:rsidRPr="001811AC">
              <w:rPr>
                <w:sz w:val="24"/>
                <w:szCs w:val="24"/>
              </w:rPr>
              <w:t>Student shows some understanding of the culture but still includes elements of stereotypes or oversimplifications.</w:t>
            </w:r>
          </w:p>
        </w:tc>
        <w:tc>
          <w:tcPr>
            <w:tcW w:w="3168" w:type="dxa"/>
            <w:tcBorders>
              <w:left w:val="single" w:sz="4" w:space="0" w:color="auto"/>
              <w:bottom w:val="single" w:sz="4" w:space="0" w:color="auto"/>
              <w:right w:val="single" w:sz="4" w:space="0" w:color="auto"/>
            </w:tcBorders>
          </w:tcPr>
          <w:p w:rsidR="00DC2F0F" w:rsidRDefault="00F047E2">
            <w:pPr>
              <w:widowControl w:val="0"/>
              <w:rPr>
                <w:color w:val="000000"/>
                <w:sz w:val="24"/>
                <w:szCs w:val="24"/>
                <w:highlight w:val="white"/>
              </w:rPr>
            </w:pPr>
            <w:r>
              <w:rPr>
                <w:color w:val="000000"/>
                <w:sz w:val="24"/>
                <w:szCs w:val="24"/>
                <w:highlight w:val="white"/>
              </w:rPr>
              <w:t>Student responds in a derogatory way.</w:t>
            </w:r>
          </w:p>
        </w:tc>
      </w:tr>
    </w:tbl>
    <w:p w:rsidR="007B06FB" w:rsidRPr="001811AC" w:rsidRDefault="00DC7590" w:rsidP="001811AC">
      <w:pPr>
        <w:tabs>
          <w:tab w:val="left" w:pos="6480"/>
        </w:tabs>
        <w:rPr>
          <w:sz w:val="22"/>
          <w:szCs w:val="22"/>
        </w:rPr>
      </w:pPr>
      <w:r>
        <w:rPr>
          <w:sz w:val="22"/>
          <w:szCs w:val="22"/>
        </w:rPr>
        <w:t>*For the purposes of this rubric, culture references any characteristic of a person or group that would represent diversity.  For instance, it includes variation based on race, ethnicity, sex, gender, sexual orientation, religion, nationality, age, disability, or other related categorizations.</w:t>
      </w:r>
    </w:p>
    <w:p w:rsidR="007B06FB" w:rsidRDefault="007B06FB">
      <w:pPr>
        <w:tabs>
          <w:tab w:val="left" w:pos="6480"/>
        </w:tabs>
        <w:jc w:val="center"/>
        <w:rPr>
          <w:b/>
          <w:sz w:val="28"/>
          <w:szCs w:val="28"/>
        </w:rPr>
      </w:pPr>
    </w:p>
    <w:p w:rsidR="001811AC" w:rsidRDefault="001811AC">
      <w:pPr>
        <w:tabs>
          <w:tab w:val="left" w:pos="6480"/>
        </w:tabs>
        <w:jc w:val="center"/>
        <w:rPr>
          <w:b/>
          <w:sz w:val="28"/>
          <w:szCs w:val="28"/>
        </w:rPr>
      </w:pPr>
    </w:p>
    <w:p w:rsidR="0026268A" w:rsidRDefault="00DC7590">
      <w:pPr>
        <w:tabs>
          <w:tab w:val="left" w:pos="6480"/>
        </w:tabs>
        <w:jc w:val="center"/>
        <w:rPr>
          <w:b/>
          <w:sz w:val="28"/>
          <w:szCs w:val="28"/>
        </w:rPr>
      </w:pPr>
      <w:r>
        <w:rPr>
          <w:b/>
          <w:sz w:val="28"/>
          <w:szCs w:val="28"/>
        </w:rPr>
        <w:t>Assessment Results</w:t>
      </w:r>
    </w:p>
    <w:p w:rsidR="0026268A" w:rsidRDefault="0026268A">
      <w:pPr>
        <w:tabs>
          <w:tab w:val="left" w:pos="6480"/>
        </w:tabs>
        <w:rPr>
          <w:b/>
          <w:sz w:val="24"/>
          <w:szCs w:val="24"/>
        </w:rPr>
      </w:pPr>
    </w:p>
    <w:p w:rsidR="0026268A" w:rsidRDefault="00DC7590">
      <w:pPr>
        <w:tabs>
          <w:tab w:val="left" w:pos="6480"/>
        </w:tabs>
        <w:rPr>
          <w:b/>
          <w:sz w:val="24"/>
          <w:szCs w:val="24"/>
        </w:rPr>
      </w:pPr>
      <w:r>
        <w:rPr>
          <w:b/>
          <w:sz w:val="24"/>
          <w:szCs w:val="24"/>
        </w:rPr>
        <w:t>Course:</w:t>
      </w:r>
      <w:r>
        <w:rPr>
          <w:b/>
          <w:sz w:val="24"/>
          <w:szCs w:val="24"/>
        </w:rPr>
        <w:tab/>
      </w:r>
      <w:r>
        <w:rPr>
          <w:b/>
          <w:sz w:val="24"/>
          <w:szCs w:val="24"/>
        </w:rPr>
        <w:tab/>
        <w:t>Semester:</w:t>
      </w:r>
    </w:p>
    <w:p w:rsidR="0026268A" w:rsidRDefault="0026268A">
      <w:pPr>
        <w:tabs>
          <w:tab w:val="left" w:pos="6480"/>
        </w:tabs>
        <w:rPr>
          <w:b/>
          <w:sz w:val="24"/>
          <w:szCs w:val="24"/>
        </w:rPr>
      </w:pPr>
    </w:p>
    <w:p w:rsidR="0026268A" w:rsidRDefault="00DC7590">
      <w:pPr>
        <w:tabs>
          <w:tab w:val="left" w:pos="6480"/>
        </w:tabs>
        <w:rPr>
          <w:b/>
          <w:sz w:val="24"/>
          <w:szCs w:val="24"/>
        </w:rPr>
      </w:pPr>
      <w:r>
        <w:rPr>
          <w:b/>
          <w:sz w:val="24"/>
          <w:szCs w:val="24"/>
        </w:rPr>
        <w:t>Number of Course Sections Assessed:</w:t>
      </w:r>
      <w:r>
        <w:rPr>
          <w:b/>
          <w:sz w:val="24"/>
          <w:szCs w:val="24"/>
        </w:rPr>
        <w:tab/>
      </w:r>
      <w:r>
        <w:rPr>
          <w:b/>
          <w:sz w:val="24"/>
          <w:szCs w:val="24"/>
        </w:rPr>
        <w:tab/>
        <w:t>Instructor:</w:t>
      </w:r>
    </w:p>
    <w:p w:rsidR="0026268A" w:rsidRDefault="0026268A">
      <w:pPr>
        <w:rPr>
          <w:b/>
          <w:sz w:val="24"/>
          <w:szCs w:val="24"/>
        </w:rPr>
      </w:pPr>
    </w:p>
    <w:p w:rsidR="007B06FB" w:rsidRDefault="007B06FB">
      <w:pPr>
        <w:rPr>
          <w:b/>
          <w:sz w:val="24"/>
          <w:szCs w:val="24"/>
        </w:rPr>
      </w:pPr>
    </w:p>
    <w:p w:rsidR="0026268A" w:rsidRDefault="00DC7590">
      <w:pPr>
        <w:rPr>
          <w:sz w:val="24"/>
          <w:szCs w:val="24"/>
        </w:rPr>
      </w:pPr>
      <w:r>
        <w:rPr>
          <w:b/>
          <w:sz w:val="24"/>
          <w:szCs w:val="24"/>
        </w:rPr>
        <w:t>Total number of students completing the assessment</w:t>
      </w:r>
      <w:r>
        <w:rPr>
          <w:sz w:val="24"/>
          <w:szCs w:val="24"/>
        </w:rPr>
        <w:t xml:space="preserve">: </w:t>
      </w:r>
    </w:p>
    <w:p w:rsidR="00C92F01" w:rsidRDefault="00C92F01" w:rsidP="00C92F01">
      <w:pPr>
        <w:spacing w:line="256" w:lineRule="auto"/>
        <w:rPr>
          <w:b/>
          <w:sz w:val="24"/>
          <w:szCs w:val="24"/>
        </w:rPr>
      </w:pPr>
    </w:p>
    <w:p w:rsidR="001811AC" w:rsidRDefault="001811AC" w:rsidP="00C92F01">
      <w:pPr>
        <w:spacing w:line="256" w:lineRule="auto"/>
        <w:rPr>
          <w:b/>
          <w:sz w:val="24"/>
          <w:szCs w:val="24"/>
        </w:rPr>
      </w:pPr>
    </w:p>
    <w:p w:rsidR="00C92F01" w:rsidRDefault="00C92F01" w:rsidP="00C92F01">
      <w:pPr>
        <w:spacing w:line="256" w:lineRule="auto"/>
        <w:rPr>
          <w:sz w:val="24"/>
          <w:szCs w:val="24"/>
        </w:rPr>
      </w:pPr>
      <w:r>
        <w:rPr>
          <w:b/>
          <w:sz w:val="24"/>
          <w:szCs w:val="24"/>
        </w:rPr>
        <w:t>Assessment Method</w:t>
      </w:r>
      <w:r>
        <w:rPr>
          <w:sz w:val="24"/>
          <w:szCs w:val="24"/>
        </w:rPr>
        <w:t xml:space="preserve"> (</w:t>
      </w:r>
      <w:r>
        <w:rPr>
          <w:i/>
          <w:sz w:val="24"/>
          <w:szCs w:val="24"/>
        </w:rPr>
        <w:t>i.e., exam questions, presentation, research paper, etc</w:t>
      </w:r>
      <w:r>
        <w:rPr>
          <w:sz w:val="24"/>
          <w:szCs w:val="24"/>
        </w:rPr>
        <w:t>.): ________________________________</w:t>
      </w:r>
    </w:p>
    <w:p w:rsidR="00C92F01" w:rsidRDefault="00C92F01">
      <w:pPr>
        <w:rPr>
          <w:sz w:val="24"/>
          <w:szCs w:val="24"/>
        </w:rPr>
      </w:pPr>
    </w:p>
    <w:p w:rsidR="0026268A" w:rsidRDefault="00DC7590">
      <w:pPr>
        <w:rPr>
          <w:b/>
          <w:sz w:val="24"/>
          <w:szCs w:val="24"/>
        </w:rPr>
      </w:pPr>
      <w:r>
        <w:rPr>
          <w:b/>
          <w:sz w:val="24"/>
          <w:szCs w:val="24"/>
        </w:rPr>
        <w:t>Indicate the number of students who met or exceeded the expected outcome:</w:t>
      </w:r>
    </w:p>
    <w:p w:rsidR="0026268A" w:rsidRDefault="00DC7590">
      <w:pPr>
        <w:rPr>
          <w:sz w:val="22"/>
          <w:szCs w:val="22"/>
        </w:rPr>
      </w:pPr>
      <w:r>
        <w:rPr>
          <w:sz w:val="22"/>
          <w:szCs w:val="22"/>
        </w:rPr>
        <w:t>(</w:t>
      </w:r>
      <w:r>
        <w:rPr>
          <w:i/>
          <w:sz w:val="22"/>
          <w:szCs w:val="22"/>
        </w:rPr>
        <w:t xml:space="preserve">Note: </w:t>
      </w:r>
      <w:r>
        <w:rPr>
          <w:sz w:val="22"/>
          <w:szCs w:val="22"/>
        </w:rPr>
        <w:t>Recording data for those who scored below the expected outcome may also be useful for assessment).</w:t>
      </w:r>
    </w:p>
    <w:p w:rsidR="0026268A" w:rsidRDefault="0026268A">
      <w:pPr>
        <w:rPr>
          <w:b/>
          <w:sz w:val="24"/>
          <w:szCs w:val="24"/>
        </w:rPr>
      </w:pPr>
      <w:bookmarkStart w:id="0" w:name="_heading=h.gjdgxs" w:colFirst="0" w:colLast="0"/>
      <w:bookmarkEnd w:id="0"/>
    </w:p>
    <w:p w:rsidR="0026268A" w:rsidRDefault="00DC7590">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EXPECTED</w:t>
      </w:r>
    </w:p>
    <w:p w:rsidR="0026268A" w:rsidRDefault="00DC7590">
      <w:pPr>
        <w:ind w:left="6480" w:firstLine="720"/>
        <w:rPr>
          <w:b/>
          <w:sz w:val="24"/>
          <w:szCs w:val="24"/>
        </w:rPr>
      </w:pPr>
      <w:r>
        <w:rPr>
          <w:b/>
          <w:sz w:val="24"/>
          <w:szCs w:val="24"/>
        </w:rPr>
        <w:t>OUTCOME:</w:t>
      </w:r>
    </w:p>
    <w:tbl>
      <w:tblPr>
        <w:tblStyle w:val="a0"/>
        <w:tblW w:w="9900"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1170"/>
        <w:gridCol w:w="1170"/>
        <w:gridCol w:w="1170"/>
        <w:gridCol w:w="1170"/>
      </w:tblGrid>
      <w:tr w:rsidR="001E6FEA" w:rsidTr="001E6FEA">
        <w:trPr>
          <w:trHeight w:val="575"/>
        </w:trPr>
        <w:tc>
          <w:tcPr>
            <w:tcW w:w="5220" w:type="dxa"/>
            <w:tcBorders>
              <w:right w:val="single" w:sz="18" w:space="0" w:color="000000"/>
            </w:tcBorders>
          </w:tcPr>
          <w:p w:rsidR="001E6FEA" w:rsidRDefault="001E6FEA">
            <w:pPr>
              <w:spacing w:before="240"/>
              <w:rPr>
                <w:b/>
                <w:sz w:val="24"/>
                <w:szCs w:val="24"/>
              </w:rPr>
            </w:pPr>
            <w:r>
              <w:rPr>
                <w:b/>
                <w:color w:val="7F7F7F"/>
                <w:sz w:val="24"/>
                <w:szCs w:val="24"/>
              </w:rPr>
              <w:t xml:space="preserve">Assessed at Bloom’s Taxonomy Level: </w:t>
            </w:r>
            <w:r>
              <w:rPr>
                <w:b/>
                <w:i/>
                <w:color w:val="7F7F7F"/>
                <w:sz w:val="24"/>
                <w:szCs w:val="24"/>
              </w:rPr>
              <w:t>Analyze</w:t>
            </w:r>
          </w:p>
        </w:tc>
        <w:tc>
          <w:tcPr>
            <w:tcW w:w="1170" w:type="dxa"/>
            <w:tcBorders>
              <w:top w:val="single" w:sz="18" w:space="0" w:color="000000"/>
              <w:left w:val="single" w:sz="18" w:space="0" w:color="000000"/>
              <w:bottom w:val="single" w:sz="18" w:space="0" w:color="000000"/>
              <w:right w:val="single" w:sz="18" w:space="0" w:color="000000"/>
            </w:tcBorders>
          </w:tcPr>
          <w:p w:rsidR="001E6FEA" w:rsidRDefault="001E6FEA">
            <w:pPr>
              <w:spacing w:before="240"/>
              <w:jc w:val="center"/>
              <w:rPr>
                <w:b/>
                <w:sz w:val="24"/>
                <w:szCs w:val="24"/>
              </w:rPr>
            </w:pPr>
            <w:r>
              <w:rPr>
                <w:b/>
                <w:sz w:val="24"/>
                <w:szCs w:val="24"/>
              </w:rPr>
              <w:t>3</w:t>
            </w:r>
          </w:p>
        </w:tc>
        <w:tc>
          <w:tcPr>
            <w:tcW w:w="1170" w:type="dxa"/>
            <w:tcBorders>
              <w:top w:val="single" w:sz="18" w:space="0" w:color="000000"/>
              <w:left w:val="single" w:sz="18" w:space="0" w:color="000000"/>
              <w:bottom w:val="single" w:sz="18" w:space="0" w:color="000000"/>
              <w:right w:val="single" w:sz="18" w:space="0" w:color="000000"/>
            </w:tcBorders>
          </w:tcPr>
          <w:p w:rsidR="001E6FEA" w:rsidRDefault="001E6FEA">
            <w:pPr>
              <w:spacing w:before="240"/>
              <w:jc w:val="center"/>
              <w:rPr>
                <w:b/>
                <w:sz w:val="24"/>
                <w:szCs w:val="24"/>
              </w:rPr>
            </w:pPr>
            <w:r>
              <w:rPr>
                <w:b/>
                <w:sz w:val="24"/>
                <w:szCs w:val="24"/>
              </w:rPr>
              <w:t>2</w:t>
            </w:r>
          </w:p>
        </w:tc>
        <w:tc>
          <w:tcPr>
            <w:tcW w:w="1170" w:type="dxa"/>
            <w:tcBorders>
              <w:left w:val="single" w:sz="18" w:space="0" w:color="000000"/>
            </w:tcBorders>
          </w:tcPr>
          <w:p w:rsidR="001E6FEA" w:rsidRDefault="001E6FEA">
            <w:pPr>
              <w:spacing w:before="240"/>
              <w:jc w:val="center"/>
              <w:rPr>
                <w:b/>
                <w:sz w:val="24"/>
                <w:szCs w:val="24"/>
              </w:rPr>
            </w:pPr>
            <w:r>
              <w:rPr>
                <w:b/>
                <w:sz w:val="24"/>
                <w:szCs w:val="24"/>
              </w:rPr>
              <w:t>1</w:t>
            </w:r>
          </w:p>
        </w:tc>
        <w:tc>
          <w:tcPr>
            <w:tcW w:w="1170" w:type="dxa"/>
            <w:tcBorders>
              <w:left w:val="single" w:sz="18" w:space="0" w:color="000000"/>
            </w:tcBorders>
          </w:tcPr>
          <w:p w:rsidR="001E6FEA" w:rsidRDefault="001E6FEA" w:rsidP="001E6FEA">
            <w:pPr>
              <w:spacing w:before="240"/>
              <w:jc w:val="center"/>
              <w:rPr>
                <w:b/>
                <w:sz w:val="24"/>
                <w:szCs w:val="24"/>
              </w:rPr>
            </w:pPr>
            <w:r>
              <w:rPr>
                <w:b/>
                <w:sz w:val="24"/>
                <w:szCs w:val="24"/>
              </w:rPr>
              <w:t>0</w:t>
            </w:r>
          </w:p>
        </w:tc>
      </w:tr>
      <w:tr w:rsidR="001E6FEA" w:rsidTr="001E6FEA">
        <w:trPr>
          <w:trHeight w:val="710"/>
        </w:trPr>
        <w:tc>
          <w:tcPr>
            <w:tcW w:w="5220" w:type="dxa"/>
            <w:tcBorders>
              <w:right w:val="single" w:sz="18" w:space="0" w:color="000000"/>
            </w:tcBorders>
          </w:tcPr>
          <w:p w:rsidR="001E6FEA" w:rsidRDefault="001E6FEA">
            <w:pPr>
              <w:rPr>
                <w:b/>
                <w:sz w:val="24"/>
                <w:szCs w:val="24"/>
              </w:rPr>
            </w:pPr>
          </w:p>
          <w:p w:rsidR="001E6FEA" w:rsidRDefault="001E6FEA">
            <w:pPr>
              <w:rPr>
                <w:b/>
                <w:sz w:val="24"/>
                <w:szCs w:val="24"/>
              </w:rPr>
            </w:pPr>
            <w:r>
              <w:rPr>
                <w:b/>
                <w:sz w:val="24"/>
                <w:szCs w:val="24"/>
              </w:rPr>
              <w:t>Global Understanding</w:t>
            </w:r>
          </w:p>
        </w:tc>
        <w:tc>
          <w:tcPr>
            <w:tcW w:w="1170" w:type="dxa"/>
            <w:tcBorders>
              <w:top w:val="single" w:sz="18" w:space="0" w:color="000000"/>
              <w:left w:val="single" w:sz="18" w:space="0" w:color="000000"/>
              <w:bottom w:val="single" w:sz="18" w:space="0" w:color="000000"/>
              <w:right w:val="single" w:sz="18" w:space="0" w:color="000000"/>
            </w:tcBorders>
          </w:tcPr>
          <w:p w:rsidR="001E6FEA" w:rsidRDefault="001E6FEA">
            <w:pPr>
              <w:rPr>
                <w:b/>
                <w:sz w:val="24"/>
                <w:szCs w:val="24"/>
              </w:rPr>
            </w:pPr>
          </w:p>
        </w:tc>
        <w:tc>
          <w:tcPr>
            <w:tcW w:w="1170" w:type="dxa"/>
            <w:tcBorders>
              <w:top w:val="single" w:sz="18" w:space="0" w:color="000000"/>
              <w:left w:val="single" w:sz="18" w:space="0" w:color="000000"/>
              <w:bottom w:val="single" w:sz="18" w:space="0" w:color="000000"/>
              <w:right w:val="single" w:sz="18" w:space="0" w:color="000000"/>
            </w:tcBorders>
          </w:tcPr>
          <w:p w:rsidR="001E6FEA" w:rsidRDefault="001E6FEA">
            <w:pPr>
              <w:rPr>
                <w:b/>
                <w:sz w:val="24"/>
                <w:szCs w:val="24"/>
              </w:rPr>
            </w:pPr>
          </w:p>
        </w:tc>
        <w:tc>
          <w:tcPr>
            <w:tcW w:w="1170" w:type="dxa"/>
            <w:tcBorders>
              <w:left w:val="single" w:sz="18" w:space="0" w:color="000000"/>
            </w:tcBorders>
          </w:tcPr>
          <w:p w:rsidR="001E6FEA" w:rsidRDefault="001E6FEA">
            <w:pPr>
              <w:rPr>
                <w:b/>
                <w:sz w:val="24"/>
                <w:szCs w:val="24"/>
              </w:rPr>
            </w:pPr>
          </w:p>
        </w:tc>
        <w:tc>
          <w:tcPr>
            <w:tcW w:w="1170" w:type="dxa"/>
            <w:tcBorders>
              <w:left w:val="single" w:sz="18" w:space="0" w:color="000000"/>
            </w:tcBorders>
          </w:tcPr>
          <w:p w:rsidR="001E6FEA" w:rsidRDefault="001E6FEA">
            <w:pPr>
              <w:rPr>
                <w:b/>
                <w:sz w:val="24"/>
                <w:szCs w:val="24"/>
              </w:rPr>
            </w:pPr>
          </w:p>
        </w:tc>
      </w:tr>
    </w:tbl>
    <w:p w:rsidR="0026268A" w:rsidRDefault="0026268A">
      <w:pPr>
        <w:rPr>
          <w:b/>
          <w:sz w:val="24"/>
          <w:szCs w:val="24"/>
        </w:rPr>
      </w:pPr>
    </w:p>
    <w:p w:rsidR="0026268A" w:rsidRDefault="0026268A">
      <w:pPr>
        <w:rPr>
          <w:sz w:val="24"/>
          <w:szCs w:val="24"/>
        </w:rPr>
      </w:pPr>
    </w:p>
    <w:p w:rsidR="0026268A" w:rsidRDefault="00DC7590">
      <w:pPr>
        <w:rPr>
          <w:b/>
          <w:sz w:val="24"/>
          <w:szCs w:val="24"/>
        </w:rPr>
      </w:pPr>
      <w:r>
        <w:rPr>
          <w:b/>
          <w:sz w:val="24"/>
          <w:szCs w:val="24"/>
        </w:rPr>
        <w:t>Summarize the students’ strengths related to the outcome as evidenced in their work.</w:t>
      </w:r>
    </w:p>
    <w:p w:rsidR="0026268A" w:rsidRDefault="0026268A">
      <w:pPr>
        <w:rPr>
          <w:sz w:val="24"/>
          <w:szCs w:val="24"/>
        </w:rPr>
      </w:pPr>
    </w:p>
    <w:p w:rsidR="0026268A" w:rsidRDefault="0026268A">
      <w:pPr>
        <w:rPr>
          <w:sz w:val="24"/>
          <w:szCs w:val="24"/>
        </w:rPr>
      </w:pPr>
    </w:p>
    <w:p w:rsidR="0026268A" w:rsidRDefault="0026268A">
      <w:pPr>
        <w:rPr>
          <w:sz w:val="24"/>
          <w:szCs w:val="24"/>
        </w:rPr>
      </w:pPr>
    </w:p>
    <w:p w:rsidR="0026268A" w:rsidRDefault="0026268A">
      <w:pPr>
        <w:rPr>
          <w:sz w:val="24"/>
          <w:szCs w:val="24"/>
        </w:rPr>
      </w:pPr>
    </w:p>
    <w:p w:rsidR="0026268A" w:rsidRDefault="00DC7590">
      <w:pPr>
        <w:rPr>
          <w:b/>
        </w:rPr>
      </w:pPr>
      <w:r>
        <w:rPr>
          <w:b/>
          <w:sz w:val="24"/>
          <w:szCs w:val="24"/>
        </w:rPr>
        <w:t>Summarize the students’ weaknesses related to the outcome as evidenced in their work.</w:t>
      </w:r>
    </w:p>
    <w:p w:rsidR="0026268A" w:rsidRDefault="0026268A"/>
    <w:p w:rsidR="0026268A" w:rsidRDefault="0026268A"/>
    <w:p w:rsidR="0026268A" w:rsidRDefault="0026268A"/>
    <w:p w:rsidR="0026268A" w:rsidRDefault="0026268A"/>
    <w:p w:rsidR="0026268A" w:rsidRDefault="0026268A"/>
    <w:p w:rsidR="0026268A" w:rsidRDefault="00DC7590">
      <w:pPr>
        <w:rPr>
          <w:b/>
          <w:sz w:val="24"/>
          <w:szCs w:val="24"/>
        </w:rPr>
      </w:pPr>
      <w:r>
        <w:rPr>
          <w:b/>
          <w:sz w:val="24"/>
          <w:szCs w:val="24"/>
        </w:rPr>
        <w:t xml:space="preserve">Summarize the strengths and weaknesses of </w:t>
      </w:r>
      <w:r w:rsidR="00C92F01">
        <w:rPr>
          <w:b/>
          <w:sz w:val="24"/>
          <w:szCs w:val="24"/>
        </w:rPr>
        <w:t>how your assessment method measured this General Education outcome</w:t>
      </w:r>
      <w:r>
        <w:rPr>
          <w:b/>
          <w:sz w:val="24"/>
          <w:szCs w:val="24"/>
        </w:rPr>
        <w:t>.</w:t>
      </w:r>
    </w:p>
    <w:p w:rsidR="007C349C" w:rsidRDefault="007C349C">
      <w:pPr>
        <w:rPr>
          <w:b/>
          <w:sz w:val="24"/>
          <w:szCs w:val="24"/>
        </w:rPr>
      </w:pPr>
    </w:p>
    <w:p w:rsidR="007C349C" w:rsidRDefault="007C349C">
      <w:pPr>
        <w:rPr>
          <w:b/>
          <w:sz w:val="24"/>
          <w:szCs w:val="24"/>
        </w:rPr>
      </w:pPr>
    </w:p>
    <w:p w:rsidR="007C349C" w:rsidRDefault="007C349C">
      <w:pPr>
        <w:rPr>
          <w:b/>
          <w:sz w:val="24"/>
          <w:szCs w:val="24"/>
        </w:rPr>
      </w:pPr>
    </w:p>
    <w:p w:rsidR="007C349C" w:rsidRPr="007C349C" w:rsidRDefault="007C349C">
      <w:pPr>
        <w:rPr>
          <w:b/>
          <w:sz w:val="32"/>
          <w:szCs w:val="24"/>
        </w:rPr>
      </w:pPr>
    </w:p>
    <w:p w:rsidR="007C349C" w:rsidRPr="007C349C" w:rsidRDefault="007C349C">
      <w:pPr>
        <w:rPr>
          <w:b/>
          <w:sz w:val="32"/>
          <w:szCs w:val="24"/>
        </w:rPr>
      </w:pPr>
      <w:bookmarkStart w:id="1" w:name="_GoBack"/>
      <w:r w:rsidRPr="00055E2C">
        <w:rPr>
          <w:b/>
          <w:color w:val="222222"/>
          <w:sz w:val="24"/>
          <w:shd w:val="clear" w:color="auto" w:fill="FFFFFF"/>
        </w:rPr>
        <w:t>Please provide any instructor suggestions for addressing the weaknesses in the students</w:t>
      </w:r>
      <w:r w:rsidR="00B64CF4" w:rsidRPr="00055E2C">
        <w:rPr>
          <w:b/>
          <w:color w:val="222222"/>
          <w:sz w:val="24"/>
          <w:shd w:val="clear" w:color="auto" w:fill="FFFFFF"/>
        </w:rPr>
        <w:t>’ performance related to the outcome</w:t>
      </w:r>
      <w:r w:rsidRPr="00055E2C">
        <w:rPr>
          <w:b/>
          <w:color w:val="222222"/>
          <w:sz w:val="24"/>
          <w:shd w:val="clear" w:color="auto" w:fill="FFFFFF"/>
        </w:rPr>
        <w:t xml:space="preserve"> and/or the assessment methods as identified above.</w:t>
      </w:r>
    </w:p>
    <w:bookmarkEnd w:id="1"/>
    <w:p w:rsidR="007A4B22" w:rsidRDefault="007A4B22">
      <w:pPr>
        <w:rPr>
          <w:b/>
          <w:sz w:val="24"/>
          <w:szCs w:val="24"/>
        </w:rPr>
      </w:pPr>
    </w:p>
    <w:p w:rsidR="007A4B22" w:rsidRDefault="007A4B22">
      <w:pPr>
        <w:rPr>
          <w:b/>
          <w:sz w:val="24"/>
          <w:szCs w:val="24"/>
        </w:rPr>
      </w:pPr>
    </w:p>
    <w:p w:rsidR="007A4B22" w:rsidRDefault="007A4B22">
      <w:pPr>
        <w:rPr>
          <w:b/>
          <w:sz w:val="24"/>
          <w:szCs w:val="24"/>
        </w:rPr>
      </w:pPr>
    </w:p>
    <w:p w:rsidR="007A4B22" w:rsidRDefault="007A4B22">
      <w:pPr>
        <w:rPr>
          <w:b/>
          <w:sz w:val="24"/>
          <w:szCs w:val="24"/>
        </w:rPr>
      </w:pPr>
    </w:p>
    <w:p w:rsidR="007A4B22" w:rsidRDefault="007A4B22">
      <w:pPr>
        <w:rPr>
          <w:b/>
          <w:sz w:val="24"/>
          <w:szCs w:val="24"/>
        </w:rPr>
      </w:pPr>
    </w:p>
    <w:p w:rsidR="007A4B22" w:rsidRDefault="007A4B22">
      <w:pPr>
        <w:rPr>
          <w:b/>
          <w:sz w:val="24"/>
          <w:szCs w:val="24"/>
        </w:rPr>
      </w:pPr>
    </w:p>
    <w:p w:rsidR="007A4B22" w:rsidRDefault="007A4B22">
      <w:pPr>
        <w:rPr>
          <w:color w:val="595959" w:themeColor="text1" w:themeTint="A6"/>
          <w:sz w:val="24"/>
          <w:szCs w:val="24"/>
        </w:rPr>
      </w:pPr>
    </w:p>
    <w:p w:rsidR="007A4B22" w:rsidRPr="007A4B22" w:rsidRDefault="007A4B22">
      <w:pPr>
        <w:rPr>
          <w:color w:val="595959" w:themeColor="text1" w:themeTint="A6"/>
          <w:sz w:val="24"/>
          <w:szCs w:val="24"/>
        </w:rPr>
      </w:pPr>
      <w:r w:rsidRPr="007A4B22">
        <w:rPr>
          <w:color w:val="595959" w:themeColor="text1" w:themeTint="A6"/>
          <w:sz w:val="24"/>
          <w:szCs w:val="24"/>
        </w:rPr>
        <w:t>(</w:t>
      </w:r>
      <w:r w:rsidRPr="007A4B22">
        <w:rPr>
          <w:i/>
          <w:color w:val="595959" w:themeColor="text1" w:themeTint="A6"/>
          <w:sz w:val="24"/>
          <w:szCs w:val="24"/>
        </w:rPr>
        <w:t xml:space="preserve">Examples of </w:t>
      </w:r>
      <w:r>
        <w:rPr>
          <w:i/>
          <w:color w:val="595959" w:themeColor="text1" w:themeTint="A6"/>
          <w:sz w:val="24"/>
          <w:szCs w:val="24"/>
        </w:rPr>
        <w:t>Diversity Outcome assessment reporting follow</w:t>
      </w:r>
      <w:r>
        <w:rPr>
          <w:color w:val="595959" w:themeColor="text1" w:themeTint="A6"/>
          <w:sz w:val="24"/>
          <w:szCs w:val="24"/>
        </w:rPr>
        <w:t>)</w:t>
      </w:r>
    </w:p>
    <w:p w:rsidR="007A4B22" w:rsidRPr="007A4B22" w:rsidRDefault="007A4B22" w:rsidP="007A4B22">
      <w:pPr>
        <w:keepNext/>
        <w:keepLines/>
        <w:spacing w:before="240" w:line="259" w:lineRule="auto"/>
        <w:outlineLvl w:val="0"/>
        <w:rPr>
          <w:rFonts w:ascii="Calibri Light" w:hAnsi="Calibri Light"/>
          <w:b/>
          <w:color w:val="2E74B5"/>
          <w:sz w:val="32"/>
          <w:szCs w:val="32"/>
          <w:u w:val="single"/>
        </w:rPr>
      </w:pPr>
      <w:r w:rsidRPr="007A4B22">
        <w:rPr>
          <w:rFonts w:ascii="Calibri Light" w:hAnsi="Calibri Light"/>
          <w:b/>
          <w:color w:val="2E74B5"/>
          <w:sz w:val="32"/>
          <w:szCs w:val="32"/>
          <w:u w:val="single"/>
        </w:rPr>
        <w:t>Diversity Outcome Reporting Examples</w:t>
      </w:r>
    </w:p>
    <w:p w:rsidR="007A4B22" w:rsidRPr="007A4B22" w:rsidRDefault="007A4B22" w:rsidP="007A4B22">
      <w:pPr>
        <w:spacing w:after="160" w:line="259" w:lineRule="auto"/>
        <w:rPr>
          <w:rFonts w:eastAsia="Calibri"/>
          <w:color w:val="000000"/>
          <w:shd w:val="clear" w:color="auto" w:fill="FFFFFF"/>
        </w:rPr>
      </w:pPr>
      <w:r w:rsidRPr="007A4B22">
        <w:rPr>
          <w:rFonts w:eastAsia="Calibri"/>
          <w:i/>
          <w:iCs/>
          <w:color w:val="000000"/>
          <w:sz w:val="24"/>
          <w:szCs w:val="22"/>
          <w:u w:val="single"/>
        </w:rPr>
        <w:t>OUTCOME:</w:t>
      </w:r>
      <w:r w:rsidRPr="007A4B22">
        <w:rPr>
          <w:rFonts w:eastAsia="Calibri"/>
          <w:color w:val="000000"/>
          <w:sz w:val="24"/>
          <w:szCs w:val="22"/>
        </w:rPr>
        <w:t xml:space="preserve"> LSSU graduates will be able </w:t>
      </w:r>
      <w:r w:rsidRPr="007A4B22">
        <w:rPr>
          <w:rFonts w:eastAsia="Calibri"/>
          <w:color w:val="000000"/>
          <w:sz w:val="24"/>
          <w:szCs w:val="22"/>
          <w:shd w:val="clear" w:color="auto" w:fill="FFFFFF"/>
        </w:rPr>
        <w:t>to </w:t>
      </w:r>
      <w:r w:rsidRPr="007A4B22">
        <w:rPr>
          <w:rFonts w:eastAsia="Calibri"/>
          <w:color w:val="000000"/>
          <w:sz w:val="24"/>
          <w:szCs w:val="22"/>
        </w:rPr>
        <w:t>view the world from cultural* perspectives other than their own</w:t>
      </w:r>
      <w:r w:rsidRPr="007A4B22">
        <w:rPr>
          <w:rFonts w:eastAsia="Calibri"/>
          <w:color w:val="000000"/>
          <w:sz w:val="24"/>
          <w:szCs w:val="22"/>
          <w:shd w:val="clear" w:color="auto" w:fill="FFFFFF"/>
        </w:rPr>
        <w:t>.</w:t>
      </w:r>
      <w:r w:rsidRPr="007A4B22">
        <w:rPr>
          <w:rFonts w:eastAsia="Calibri"/>
          <w:color w:val="000000"/>
          <w:shd w:val="clear" w:color="auto" w:fill="FFFFFF"/>
        </w:rPr>
        <w:t> </w:t>
      </w:r>
    </w:p>
    <w:p w:rsidR="007A4B22" w:rsidRPr="007A4B22" w:rsidRDefault="007A4B22" w:rsidP="007A4B22">
      <w:pPr>
        <w:spacing w:after="160" w:line="259" w:lineRule="auto"/>
        <w:rPr>
          <w:rFonts w:ascii="Calibri" w:eastAsia="Calibri" w:hAnsi="Calibri" w:cs="Calibri"/>
          <w:b/>
          <w:bCs/>
          <w:color w:val="000000"/>
          <w:sz w:val="24"/>
          <w:szCs w:val="22"/>
        </w:rPr>
      </w:pPr>
      <w:r w:rsidRPr="007A4B22">
        <w:rPr>
          <w:rFonts w:ascii="Calibri" w:eastAsia="Calibri" w:hAnsi="Calibri" w:cs="Calibri"/>
          <w:b/>
          <w:bCs/>
          <w:color w:val="000000"/>
          <w:sz w:val="24"/>
          <w:szCs w:val="22"/>
        </w:rPr>
        <w:t>Summarize the students’ strengths related to the outcome as evidenced in their work.</w:t>
      </w:r>
    </w:p>
    <w:tbl>
      <w:tblPr>
        <w:tblStyle w:val="TableGrid1"/>
        <w:tblW w:w="14515" w:type="dxa"/>
        <w:tblLook w:val="04A0" w:firstRow="1" w:lastRow="0" w:firstColumn="1" w:lastColumn="0" w:noHBand="0" w:noVBand="1"/>
      </w:tblPr>
      <w:tblGrid>
        <w:gridCol w:w="2160"/>
        <w:gridCol w:w="12355"/>
      </w:tblGrid>
      <w:tr w:rsidR="007A4B22" w:rsidRPr="007A4B22" w:rsidTr="004D08B7">
        <w:tc>
          <w:tcPr>
            <w:tcW w:w="2160" w:type="dxa"/>
          </w:tcPr>
          <w:p w:rsidR="007A4B22" w:rsidRPr="007A4B22" w:rsidRDefault="007A4B22" w:rsidP="007A4B22">
            <w:pPr>
              <w:spacing w:line="259" w:lineRule="auto"/>
            </w:pPr>
            <w:r w:rsidRPr="007A4B22">
              <w:rPr>
                <w:rFonts w:ascii="Calibri" w:hAnsi="Calibri"/>
                <w:b/>
                <w:bCs/>
                <w:color w:val="000000"/>
                <w:sz w:val="22"/>
              </w:rPr>
              <w:t>Assessment Method</w:t>
            </w:r>
          </w:p>
        </w:tc>
        <w:tc>
          <w:tcPr>
            <w:tcW w:w="12355" w:type="dxa"/>
          </w:tcPr>
          <w:p w:rsidR="007A4B22" w:rsidRPr="007A4B22" w:rsidRDefault="007A4B22" w:rsidP="007A4B22">
            <w:pPr>
              <w:rPr>
                <w:rFonts w:ascii="Calibri" w:hAnsi="Calibri" w:cs="Calibri"/>
                <w:b/>
                <w:bCs/>
                <w:color w:val="000000"/>
                <w:sz w:val="22"/>
              </w:rPr>
            </w:pPr>
            <w:r w:rsidRPr="007A4B22">
              <w:rPr>
                <w:rFonts w:ascii="Calibri" w:hAnsi="Calibri" w:cs="Calibri"/>
                <w:b/>
                <w:bCs/>
                <w:color w:val="000000"/>
                <w:sz w:val="22"/>
              </w:rPr>
              <w:t>Example Summary</w:t>
            </w:r>
          </w:p>
        </w:tc>
      </w:tr>
      <w:tr w:rsidR="007A4B22" w:rsidRPr="007A4B22" w:rsidTr="004D08B7">
        <w:tc>
          <w:tcPr>
            <w:tcW w:w="2160" w:type="dxa"/>
          </w:tcPr>
          <w:p w:rsidR="007A4B22" w:rsidRPr="007A4B22" w:rsidRDefault="007A4B22" w:rsidP="007A4B22">
            <w:pPr>
              <w:rPr>
                <w:color w:val="000000"/>
                <w:sz w:val="22"/>
              </w:rPr>
            </w:pPr>
            <w:r w:rsidRPr="007A4B22">
              <w:rPr>
                <w:color w:val="000000"/>
                <w:sz w:val="22"/>
              </w:rPr>
              <w:t xml:space="preserve">Exam Questions </w:t>
            </w:r>
          </w:p>
        </w:tc>
        <w:tc>
          <w:tcPr>
            <w:tcW w:w="12355" w:type="dxa"/>
          </w:tcPr>
          <w:p w:rsidR="007A4B22" w:rsidRPr="007A4B22" w:rsidRDefault="007A4B22" w:rsidP="007A4B22">
            <w:pPr>
              <w:rPr>
                <w:color w:val="000000"/>
                <w:sz w:val="22"/>
              </w:rPr>
            </w:pPr>
            <w:r w:rsidRPr="007A4B22">
              <w:rPr>
                <w:color w:val="000000"/>
                <w:sz w:val="22"/>
              </w:rPr>
              <w:t>93.4% (n=85) of students were able to frame and process scenarios from various perspectives that differ from their own at level 2 or above.  Many (n=66, 72.5%) were able to do this while demonstrating mastery of supportive evidence at the highest level.</w:t>
            </w:r>
          </w:p>
          <w:p w:rsidR="007A4B22" w:rsidRPr="007A4B22" w:rsidRDefault="007A4B22" w:rsidP="007A4B22">
            <w:pPr>
              <w:rPr>
                <w:b/>
                <w:bCs/>
                <w:color w:val="000000"/>
                <w:sz w:val="22"/>
              </w:rPr>
            </w:pPr>
            <w:r w:rsidRPr="007A4B22">
              <w:rPr>
                <w:color w:val="000000"/>
                <w:sz w:val="22"/>
              </w:rPr>
              <w:t>A continued strength was that most students were able to recognize instances of institutional and structural level discrimination.</w:t>
            </w:r>
          </w:p>
        </w:tc>
      </w:tr>
      <w:tr w:rsidR="007A4B22" w:rsidRPr="007A4B22" w:rsidTr="004D08B7">
        <w:tc>
          <w:tcPr>
            <w:tcW w:w="2160" w:type="dxa"/>
          </w:tcPr>
          <w:p w:rsidR="007A4B22" w:rsidRPr="007A4B22" w:rsidRDefault="007A4B22" w:rsidP="007A4B22">
            <w:pPr>
              <w:rPr>
                <w:color w:val="000000"/>
                <w:sz w:val="22"/>
              </w:rPr>
            </w:pPr>
            <w:r w:rsidRPr="007A4B22">
              <w:rPr>
                <w:color w:val="000000"/>
                <w:sz w:val="22"/>
              </w:rPr>
              <w:t>Scenario Response</w:t>
            </w:r>
          </w:p>
        </w:tc>
        <w:tc>
          <w:tcPr>
            <w:tcW w:w="12355" w:type="dxa"/>
          </w:tcPr>
          <w:p w:rsidR="007A4B22" w:rsidRPr="007A4B22" w:rsidRDefault="007A4B22" w:rsidP="007A4B22">
            <w:pPr>
              <w:rPr>
                <w:b/>
                <w:bCs/>
                <w:color w:val="000000"/>
                <w:sz w:val="22"/>
              </w:rPr>
            </w:pPr>
            <w:r w:rsidRPr="007A4B22">
              <w:rPr>
                <w:color w:val="000000"/>
                <w:sz w:val="22"/>
              </w:rPr>
              <w:t>A majority of the students were able to see the diverse student in the scenario as a whole person and respond from the perspective of that student. Responses showed depth and insight connecting what they’ve learned about diverse experiences.</w:t>
            </w:r>
          </w:p>
        </w:tc>
      </w:tr>
      <w:tr w:rsidR="007A4B22" w:rsidRPr="007A4B22" w:rsidTr="004D08B7">
        <w:tc>
          <w:tcPr>
            <w:tcW w:w="2160" w:type="dxa"/>
          </w:tcPr>
          <w:p w:rsidR="007A4B22" w:rsidRPr="007A4B22" w:rsidRDefault="007A4B22" w:rsidP="007A4B22">
            <w:pPr>
              <w:rPr>
                <w:color w:val="000000"/>
                <w:sz w:val="22"/>
              </w:rPr>
            </w:pPr>
            <w:r w:rsidRPr="007A4B22">
              <w:rPr>
                <w:color w:val="000000"/>
                <w:sz w:val="22"/>
              </w:rPr>
              <w:t>Written work:  reflections &amp; essays</w:t>
            </w:r>
          </w:p>
        </w:tc>
        <w:tc>
          <w:tcPr>
            <w:tcW w:w="12355" w:type="dxa"/>
          </w:tcPr>
          <w:p w:rsidR="007A4B22" w:rsidRPr="007A4B22" w:rsidRDefault="007A4B22" w:rsidP="007A4B22">
            <w:pPr>
              <w:rPr>
                <w:b/>
                <w:bCs/>
                <w:color w:val="000000"/>
                <w:sz w:val="22"/>
              </w:rPr>
            </w:pPr>
            <w:r w:rsidRPr="007A4B22">
              <w:rPr>
                <w:color w:val="000000"/>
                <w:sz w:val="22"/>
              </w:rPr>
              <w:t>Ninety percent of the students demonstrated improvement and an increased awareness regarding cultural perspectives other than their own. In their final reflection at the end of the semester, all students indicated a sense of increased awareness and knowledge.</w:t>
            </w:r>
          </w:p>
        </w:tc>
      </w:tr>
    </w:tbl>
    <w:p w:rsidR="007A4B22" w:rsidRPr="007A4B22" w:rsidRDefault="007A4B22" w:rsidP="007A4B22">
      <w:pPr>
        <w:spacing w:line="259" w:lineRule="auto"/>
        <w:rPr>
          <w:rFonts w:eastAsia="Calibri"/>
          <w:b/>
          <w:bCs/>
          <w:color w:val="000000"/>
          <w:sz w:val="24"/>
          <w:szCs w:val="22"/>
        </w:rPr>
      </w:pPr>
    </w:p>
    <w:p w:rsidR="007A4B22" w:rsidRPr="007A4B22" w:rsidRDefault="007A4B22" w:rsidP="007A4B22">
      <w:pPr>
        <w:spacing w:after="160" w:line="259" w:lineRule="auto"/>
        <w:rPr>
          <w:rFonts w:ascii="Calibri" w:eastAsia="Calibri" w:hAnsi="Calibri" w:cs="Calibri"/>
          <w:b/>
          <w:bCs/>
          <w:color w:val="000000"/>
          <w:sz w:val="24"/>
          <w:szCs w:val="22"/>
        </w:rPr>
      </w:pPr>
      <w:r w:rsidRPr="007A4B22">
        <w:rPr>
          <w:rFonts w:ascii="Calibri" w:eastAsia="Calibri" w:hAnsi="Calibri" w:cs="Calibri"/>
          <w:b/>
          <w:bCs/>
          <w:color w:val="000000"/>
          <w:sz w:val="24"/>
          <w:szCs w:val="22"/>
        </w:rPr>
        <w:t>Summarize the students’ weaknesses related to the outcome as evidenced in their work.</w:t>
      </w:r>
    </w:p>
    <w:tbl>
      <w:tblPr>
        <w:tblStyle w:val="TableGrid1"/>
        <w:tblW w:w="14515" w:type="dxa"/>
        <w:tblLook w:val="04A0" w:firstRow="1" w:lastRow="0" w:firstColumn="1" w:lastColumn="0" w:noHBand="0" w:noVBand="1"/>
      </w:tblPr>
      <w:tblGrid>
        <w:gridCol w:w="2145"/>
        <w:gridCol w:w="12370"/>
      </w:tblGrid>
      <w:tr w:rsidR="007A4B22" w:rsidRPr="007A4B22" w:rsidTr="004D08B7">
        <w:tc>
          <w:tcPr>
            <w:tcW w:w="2145" w:type="dxa"/>
          </w:tcPr>
          <w:p w:rsidR="007A4B22" w:rsidRPr="007A4B22" w:rsidRDefault="007A4B22" w:rsidP="007A4B22">
            <w:pPr>
              <w:spacing w:line="259" w:lineRule="auto"/>
            </w:pPr>
            <w:r w:rsidRPr="007A4B22">
              <w:rPr>
                <w:rFonts w:ascii="Calibri" w:hAnsi="Calibri"/>
                <w:b/>
                <w:bCs/>
                <w:color w:val="000000"/>
                <w:sz w:val="22"/>
              </w:rPr>
              <w:t>Assessment Method</w:t>
            </w:r>
          </w:p>
        </w:tc>
        <w:tc>
          <w:tcPr>
            <w:tcW w:w="12370" w:type="dxa"/>
          </w:tcPr>
          <w:p w:rsidR="007A4B22" w:rsidRPr="007A4B22" w:rsidRDefault="007A4B22" w:rsidP="007A4B22">
            <w:pPr>
              <w:rPr>
                <w:rFonts w:ascii="Calibri" w:hAnsi="Calibri" w:cs="Calibri"/>
                <w:b/>
                <w:bCs/>
                <w:color w:val="000000"/>
                <w:sz w:val="22"/>
              </w:rPr>
            </w:pPr>
            <w:r w:rsidRPr="007A4B22">
              <w:rPr>
                <w:rFonts w:ascii="Calibri" w:hAnsi="Calibri" w:cs="Calibri"/>
                <w:b/>
                <w:bCs/>
                <w:color w:val="000000"/>
                <w:sz w:val="22"/>
              </w:rPr>
              <w:t>Example Summary</w:t>
            </w:r>
          </w:p>
        </w:tc>
      </w:tr>
      <w:tr w:rsidR="007A4B22" w:rsidRPr="007A4B22" w:rsidTr="004D08B7">
        <w:tc>
          <w:tcPr>
            <w:tcW w:w="2145" w:type="dxa"/>
          </w:tcPr>
          <w:p w:rsidR="007A4B22" w:rsidRPr="007A4B22" w:rsidRDefault="007A4B22" w:rsidP="007A4B22">
            <w:pPr>
              <w:rPr>
                <w:color w:val="000000"/>
                <w:sz w:val="22"/>
              </w:rPr>
            </w:pPr>
            <w:r w:rsidRPr="007A4B22">
              <w:rPr>
                <w:color w:val="000000"/>
                <w:sz w:val="22"/>
              </w:rPr>
              <w:t xml:space="preserve">Exam Questions </w:t>
            </w:r>
          </w:p>
        </w:tc>
        <w:tc>
          <w:tcPr>
            <w:tcW w:w="12370" w:type="dxa"/>
          </w:tcPr>
          <w:p w:rsidR="007A4B22" w:rsidRPr="007A4B22" w:rsidRDefault="007A4B22" w:rsidP="007A4B22">
            <w:pPr>
              <w:rPr>
                <w:b/>
                <w:bCs/>
                <w:color w:val="000000"/>
                <w:sz w:val="22"/>
              </w:rPr>
            </w:pPr>
            <w:r w:rsidRPr="007A4B22">
              <w:rPr>
                <w:color w:val="000000"/>
                <w:sz w:val="22"/>
              </w:rPr>
              <w:t>A small but consistent number of students (n=6, 6.6%) were unable to recall supportive evidence or were unwilling to take the time to make a complete argument in viewing the world from a cultural perspective other than their own.  The most common student weakness was an inability to recognize the intersectionality of race, gender, class and cultural issues using appropriate theoretical perspectives.</w:t>
            </w:r>
          </w:p>
        </w:tc>
      </w:tr>
      <w:tr w:rsidR="007A4B22" w:rsidRPr="007A4B22" w:rsidTr="004D08B7">
        <w:tc>
          <w:tcPr>
            <w:tcW w:w="2145" w:type="dxa"/>
          </w:tcPr>
          <w:p w:rsidR="007A4B22" w:rsidRPr="007A4B22" w:rsidRDefault="007A4B22" w:rsidP="007A4B22">
            <w:pPr>
              <w:rPr>
                <w:color w:val="000000"/>
                <w:sz w:val="22"/>
              </w:rPr>
            </w:pPr>
            <w:r w:rsidRPr="007A4B22">
              <w:rPr>
                <w:color w:val="000000"/>
                <w:sz w:val="22"/>
              </w:rPr>
              <w:t>Scenario Response</w:t>
            </w:r>
          </w:p>
        </w:tc>
        <w:tc>
          <w:tcPr>
            <w:tcW w:w="12370" w:type="dxa"/>
          </w:tcPr>
          <w:p w:rsidR="007A4B22" w:rsidRPr="007A4B22" w:rsidRDefault="007A4B22" w:rsidP="007A4B22">
            <w:pPr>
              <w:rPr>
                <w:b/>
                <w:bCs/>
                <w:color w:val="000000"/>
                <w:sz w:val="22"/>
              </w:rPr>
            </w:pPr>
            <w:r w:rsidRPr="007A4B22">
              <w:rPr>
                <w:color w:val="000000"/>
                <w:sz w:val="22"/>
              </w:rPr>
              <w:t>None noted, students were able demonstrate how they would view the world from a cultural perspective other than their own. One student didn’t follow the directions, but it is a student who has struggled throughout the course. I believe this not part of a larger pattern.</w:t>
            </w:r>
          </w:p>
        </w:tc>
      </w:tr>
      <w:tr w:rsidR="007A4B22" w:rsidRPr="007A4B22" w:rsidTr="004D08B7">
        <w:tc>
          <w:tcPr>
            <w:tcW w:w="2145" w:type="dxa"/>
          </w:tcPr>
          <w:p w:rsidR="007A4B22" w:rsidRPr="007A4B22" w:rsidRDefault="007A4B22" w:rsidP="007A4B22">
            <w:pPr>
              <w:rPr>
                <w:b/>
                <w:bCs/>
                <w:color w:val="000000"/>
                <w:sz w:val="22"/>
              </w:rPr>
            </w:pPr>
            <w:r w:rsidRPr="007A4B22">
              <w:rPr>
                <w:color w:val="000000"/>
                <w:sz w:val="22"/>
              </w:rPr>
              <w:t>Written work: reflections &amp; essays</w:t>
            </w:r>
          </w:p>
        </w:tc>
        <w:tc>
          <w:tcPr>
            <w:tcW w:w="12370" w:type="dxa"/>
          </w:tcPr>
          <w:p w:rsidR="007A4B22" w:rsidRPr="007A4B22" w:rsidRDefault="007A4B22" w:rsidP="007A4B22">
            <w:pPr>
              <w:rPr>
                <w:color w:val="000000"/>
                <w:sz w:val="22"/>
              </w:rPr>
            </w:pPr>
            <w:r w:rsidRPr="007A4B22">
              <w:rPr>
                <w:color w:val="000000"/>
                <w:sz w:val="22"/>
              </w:rPr>
              <w:t>Any apparent weaknesses seem to stem largely from limited life experience in being to view cultures from perspectives outside their own.</w:t>
            </w:r>
          </w:p>
        </w:tc>
      </w:tr>
    </w:tbl>
    <w:p w:rsidR="007A4B22" w:rsidRPr="007A4B22" w:rsidRDefault="007A4B22" w:rsidP="007A4B22">
      <w:pPr>
        <w:spacing w:line="259" w:lineRule="auto"/>
        <w:rPr>
          <w:rFonts w:eastAsia="Calibri"/>
          <w:b/>
          <w:bCs/>
          <w:color w:val="000000"/>
          <w:sz w:val="24"/>
          <w:szCs w:val="22"/>
        </w:rPr>
      </w:pPr>
    </w:p>
    <w:p w:rsidR="007A4B22" w:rsidRPr="007A4B22" w:rsidRDefault="007A4B22" w:rsidP="007A4B22">
      <w:pPr>
        <w:spacing w:after="160" w:line="259" w:lineRule="auto"/>
        <w:rPr>
          <w:rFonts w:eastAsia="Calibri"/>
          <w:b/>
          <w:bCs/>
          <w:color w:val="000000"/>
          <w:sz w:val="24"/>
          <w:szCs w:val="22"/>
        </w:rPr>
      </w:pPr>
      <w:r w:rsidRPr="007A4B22">
        <w:rPr>
          <w:rFonts w:eastAsia="Calibri"/>
          <w:b/>
          <w:bCs/>
          <w:color w:val="000000"/>
          <w:sz w:val="24"/>
          <w:szCs w:val="22"/>
        </w:rPr>
        <w:t xml:space="preserve">Summarize the strengths and weaknesses </w:t>
      </w:r>
      <w:r w:rsidRPr="00894021">
        <w:rPr>
          <w:rFonts w:eastAsia="Calibri"/>
          <w:b/>
          <w:bCs/>
          <w:sz w:val="24"/>
          <w:szCs w:val="22"/>
        </w:rPr>
        <w:t>of how your assessment method measured this General Education outcome.</w:t>
      </w:r>
    </w:p>
    <w:tbl>
      <w:tblPr>
        <w:tblStyle w:val="TableGrid1"/>
        <w:tblW w:w="14515" w:type="dxa"/>
        <w:tblLook w:val="04A0" w:firstRow="1" w:lastRow="0" w:firstColumn="1" w:lastColumn="0" w:noHBand="0" w:noVBand="1"/>
      </w:tblPr>
      <w:tblGrid>
        <w:gridCol w:w="2145"/>
        <w:gridCol w:w="12370"/>
      </w:tblGrid>
      <w:tr w:rsidR="007A4B22" w:rsidRPr="007A4B22" w:rsidTr="004D08B7">
        <w:tc>
          <w:tcPr>
            <w:tcW w:w="2145" w:type="dxa"/>
          </w:tcPr>
          <w:p w:rsidR="007A4B22" w:rsidRPr="007A4B22" w:rsidRDefault="007A4B22" w:rsidP="007A4B22">
            <w:pPr>
              <w:spacing w:line="259" w:lineRule="auto"/>
            </w:pPr>
            <w:r w:rsidRPr="007A4B22">
              <w:rPr>
                <w:rFonts w:ascii="Calibri" w:hAnsi="Calibri"/>
                <w:b/>
                <w:bCs/>
                <w:color w:val="000000"/>
                <w:sz w:val="22"/>
              </w:rPr>
              <w:t>Assessment Method</w:t>
            </w:r>
          </w:p>
        </w:tc>
        <w:tc>
          <w:tcPr>
            <w:tcW w:w="12370" w:type="dxa"/>
          </w:tcPr>
          <w:p w:rsidR="007A4B22" w:rsidRPr="007A4B22" w:rsidRDefault="007A4B22" w:rsidP="007A4B22">
            <w:pPr>
              <w:rPr>
                <w:rFonts w:ascii="Calibri" w:hAnsi="Calibri" w:cs="Calibri"/>
                <w:b/>
                <w:bCs/>
                <w:color w:val="000000"/>
                <w:sz w:val="22"/>
              </w:rPr>
            </w:pPr>
            <w:r w:rsidRPr="007A4B22">
              <w:rPr>
                <w:rFonts w:ascii="Calibri" w:hAnsi="Calibri" w:cs="Calibri"/>
                <w:b/>
                <w:bCs/>
                <w:color w:val="000000"/>
                <w:sz w:val="22"/>
              </w:rPr>
              <w:t>Example Summary</w:t>
            </w:r>
          </w:p>
        </w:tc>
      </w:tr>
      <w:tr w:rsidR="007A4B22" w:rsidRPr="007A4B22" w:rsidTr="004D08B7">
        <w:trPr>
          <w:trHeight w:val="1440"/>
        </w:trPr>
        <w:tc>
          <w:tcPr>
            <w:tcW w:w="2145" w:type="dxa"/>
          </w:tcPr>
          <w:p w:rsidR="007A4B22" w:rsidRPr="007A4B22" w:rsidRDefault="007A4B22" w:rsidP="007A4B22">
            <w:pPr>
              <w:rPr>
                <w:color w:val="000000"/>
                <w:sz w:val="22"/>
              </w:rPr>
            </w:pPr>
            <w:r w:rsidRPr="007A4B22">
              <w:rPr>
                <w:color w:val="000000"/>
                <w:sz w:val="22"/>
              </w:rPr>
              <w:t xml:space="preserve">Exam Questions </w:t>
            </w:r>
          </w:p>
        </w:tc>
        <w:tc>
          <w:tcPr>
            <w:tcW w:w="12370" w:type="dxa"/>
          </w:tcPr>
          <w:p w:rsidR="007A4B22" w:rsidRPr="007A4B22" w:rsidRDefault="007A4B22" w:rsidP="007A4B22">
            <w:pPr>
              <w:spacing w:after="160"/>
              <w:rPr>
                <w:b/>
                <w:bCs/>
                <w:color w:val="000000"/>
                <w:sz w:val="22"/>
              </w:rPr>
            </w:pPr>
            <w:r w:rsidRPr="007A4B22">
              <w:rPr>
                <w:color w:val="000000"/>
                <w:sz w:val="22"/>
              </w:rPr>
              <w:t>The assessment was comprehensive and addressed core learning outcomes of the cultural diversity course.  It included numerous indicators for a variety of different groups ranging from cultures with third and fourth sexes to resident African American and Native American populations.  As such, it serves as a well-rounded assessment of the topical areas, the breadth of diversity and the intersectionality of inequality.  I see no weaknesses with the methodology at this time but will continue to monitor and evaluate going forward.</w:t>
            </w:r>
          </w:p>
        </w:tc>
      </w:tr>
      <w:tr w:rsidR="007A4B22" w:rsidRPr="007A4B22" w:rsidTr="004D08B7">
        <w:tc>
          <w:tcPr>
            <w:tcW w:w="2145" w:type="dxa"/>
          </w:tcPr>
          <w:p w:rsidR="007A4B22" w:rsidRPr="007A4B22" w:rsidRDefault="007A4B22" w:rsidP="007A4B22">
            <w:pPr>
              <w:rPr>
                <w:b/>
                <w:bCs/>
                <w:color w:val="000000"/>
                <w:sz w:val="22"/>
              </w:rPr>
            </w:pPr>
            <w:r w:rsidRPr="007A4B22">
              <w:rPr>
                <w:color w:val="000000"/>
                <w:sz w:val="22"/>
              </w:rPr>
              <w:t>Scenario Response</w:t>
            </w:r>
          </w:p>
        </w:tc>
        <w:tc>
          <w:tcPr>
            <w:tcW w:w="12370" w:type="dxa"/>
          </w:tcPr>
          <w:p w:rsidR="007A4B22" w:rsidRPr="007A4B22" w:rsidRDefault="007A4B22" w:rsidP="007A4B22">
            <w:pPr>
              <w:rPr>
                <w:color w:val="000000"/>
                <w:sz w:val="22"/>
              </w:rPr>
            </w:pPr>
            <w:r w:rsidRPr="007A4B22">
              <w:rPr>
                <w:color w:val="000000"/>
                <w:sz w:val="22"/>
              </w:rPr>
              <w:t>This assessment seems to be aligned to the outcome. Giving students a choice of three scenarios ensures that they can choose an experience different from their own.</w:t>
            </w:r>
          </w:p>
        </w:tc>
      </w:tr>
      <w:tr w:rsidR="007A4B22" w:rsidRPr="007A4B22" w:rsidTr="004D08B7">
        <w:tc>
          <w:tcPr>
            <w:tcW w:w="2145" w:type="dxa"/>
          </w:tcPr>
          <w:p w:rsidR="007A4B22" w:rsidRPr="007A4B22" w:rsidRDefault="007A4B22" w:rsidP="007A4B22">
            <w:pPr>
              <w:rPr>
                <w:color w:val="000000"/>
                <w:sz w:val="22"/>
              </w:rPr>
            </w:pPr>
            <w:r w:rsidRPr="007A4B22">
              <w:rPr>
                <w:color w:val="000000"/>
                <w:sz w:val="22"/>
              </w:rPr>
              <w:t>Written work:  reflections &amp; essays</w:t>
            </w:r>
          </w:p>
        </w:tc>
        <w:tc>
          <w:tcPr>
            <w:tcW w:w="12370" w:type="dxa"/>
          </w:tcPr>
          <w:p w:rsidR="007A4B22" w:rsidRPr="007A4B22" w:rsidRDefault="007A4B22" w:rsidP="007A4B22">
            <w:pPr>
              <w:rPr>
                <w:color w:val="000000"/>
                <w:sz w:val="22"/>
              </w:rPr>
            </w:pPr>
            <w:r w:rsidRPr="007A4B22">
              <w:rPr>
                <w:color w:val="000000"/>
                <w:sz w:val="22"/>
              </w:rPr>
              <w:t>The amount of writing throughout the semester allows for a sustained engagement with the literature and the diverse cultural perspectives. </w:t>
            </w:r>
          </w:p>
        </w:tc>
      </w:tr>
    </w:tbl>
    <w:p w:rsidR="0026268A" w:rsidRDefault="0026268A" w:rsidP="007C349C"/>
    <w:sectPr w:rsidR="0026268A" w:rsidSect="007A4B22">
      <w:headerReference w:type="default" r:id="rId7"/>
      <w:footerReference w:type="even" r:id="rId8"/>
      <w:headerReference w:type="first" r:id="rId9"/>
      <w:pgSz w:w="15840" w:h="12240" w:orient="landscape"/>
      <w:pgMar w:top="720" w:right="720" w:bottom="720" w:left="720" w:header="288" w:footer="28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21F" w:rsidRDefault="009E321F">
      <w:r>
        <w:separator/>
      </w:r>
    </w:p>
  </w:endnote>
  <w:endnote w:type="continuationSeparator" w:id="0">
    <w:p w:rsidR="009E321F" w:rsidRDefault="009E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8A" w:rsidRDefault="00DC759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rsidR="0026268A" w:rsidRDefault="0026268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21F" w:rsidRDefault="009E321F">
      <w:r>
        <w:separator/>
      </w:r>
    </w:p>
  </w:footnote>
  <w:footnote w:type="continuationSeparator" w:id="0">
    <w:p w:rsidR="009E321F" w:rsidRDefault="009E3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8A" w:rsidRDefault="00DC7590">
    <w:pPr>
      <w:pBdr>
        <w:top w:val="nil"/>
        <w:left w:val="nil"/>
        <w:bottom w:val="nil"/>
        <w:right w:val="nil"/>
        <w:between w:val="nil"/>
      </w:pBdr>
      <w:tabs>
        <w:tab w:val="center" w:pos="4320"/>
        <w:tab w:val="right" w:pos="8640"/>
      </w:tabs>
      <w:rPr>
        <w:b/>
        <w:color w:val="000000"/>
        <w:sz w:val="28"/>
        <w:szCs w:val="28"/>
      </w:rPr>
    </w:pPr>
    <w:r>
      <w:rPr>
        <w:b/>
        <w:color w:val="000000"/>
        <w:sz w:val="28"/>
        <w:szCs w:val="28"/>
      </w:rPr>
      <w:tab/>
    </w:r>
    <w:r>
      <w:rPr>
        <w:b/>
        <w:color w:val="000000"/>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B22" w:rsidRDefault="007A4B22" w:rsidP="007A4B22">
    <w:pPr>
      <w:pBdr>
        <w:top w:val="nil"/>
        <w:left w:val="nil"/>
        <w:bottom w:val="nil"/>
        <w:right w:val="nil"/>
        <w:between w:val="nil"/>
      </w:pBdr>
      <w:tabs>
        <w:tab w:val="center" w:pos="4320"/>
        <w:tab w:val="right" w:pos="8640"/>
      </w:tabs>
      <w:rPr>
        <w:b/>
        <w:color w:val="000000"/>
        <w:sz w:val="28"/>
        <w:szCs w:val="28"/>
      </w:rPr>
    </w:pPr>
    <w:r>
      <w:rPr>
        <w:b/>
        <w:color w:val="000000"/>
        <w:sz w:val="28"/>
        <w:szCs w:val="28"/>
      </w:rPr>
      <w:t>General Education Course Assessment Faculty Summary Report – Diversity</w:t>
    </w:r>
  </w:p>
  <w:p w:rsidR="007A4B22" w:rsidRDefault="007A4B22" w:rsidP="007A4B22">
    <w:pPr>
      <w:pStyle w:val="Header"/>
    </w:pPr>
    <w:r>
      <w:rPr>
        <w:b/>
        <w:color w:val="000000"/>
        <w:sz w:val="28"/>
        <w:szCs w:val="28"/>
      </w:rPr>
      <w:t>Completed by Faculty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68A"/>
    <w:rsid w:val="00055E2C"/>
    <w:rsid w:val="000E5CFA"/>
    <w:rsid w:val="001811AC"/>
    <w:rsid w:val="00186641"/>
    <w:rsid w:val="001E6FEA"/>
    <w:rsid w:val="0026268A"/>
    <w:rsid w:val="003B50CA"/>
    <w:rsid w:val="004F6B25"/>
    <w:rsid w:val="00607F31"/>
    <w:rsid w:val="007A4B22"/>
    <w:rsid w:val="007B06FB"/>
    <w:rsid w:val="007C349C"/>
    <w:rsid w:val="007E3C17"/>
    <w:rsid w:val="007F6F63"/>
    <w:rsid w:val="00870482"/>
    <w:rsid w:val="00894021"/>
    <w:rsid w:val="0095578A"/>
    <w:rsid w:val="00996FFF"/>
    <w:rsid w:val="009E321F"/>
    <w:rsid w:val="00B64CF4"/>
    <w:rsid w:val="00C54FD8"/>
    <w:rsid w:val="00C92F01"/>
    <w:rsid w:val="00DC2F0F"/>
    <w:rsid w:val="00DC7590"/>
    <w:rsid w:val="00E646C3"/>
    <w:rsid w:val="00F047E2"/>
    <w:rsid w:val="00F23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C19F7D-2B3B-4C87-8E8B-6A4BF6C3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3D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3">
    <w:name w:val="Body Text 3"/>
    <w:basedOn w:val="Normal"/>
    <w:link w:val="BodyText3Char"/>
    <w:rsid w:val="008B23DD"/>
    <w:pPr>
      <w:spacing w:line="204" w:lineRule="auto"/>
    </w:pPr>
    <w:rPr>
      <w:sz w:val="18"/>
    </w:rPr>
  </w:style>
  <w:style w:type="character" w:customStyle="1" w:styleId="BodyText3Char">
    <w:name w:val="Body Text 3 Char"/>
    <w:basedOn w:val="DefaultParagraphFont"/>
    <w:link w:val="BodyText3"/>
    <w:rsid w:val="008B23DD"/>
    <w:rPr>
      <w:rFonts w:ascii="Times New Roman" w:eastAsia="Times New Roman" w:hAnsi="Times New Roman" w:cs="Times New Roman"/>
      <w:sz w:val="18"/>
      <w:szCs w:val="20"/>
    </w:rPr>
  </w:style>
  <w:style w:type="paragraph" w:styleId="Footer">
    <w:name w:val="footer"/>
    <w:basedOn w:val="Normal"/>
    <w:link w:val="FooterChar"/>
    <w:rsid w:val="008B23DD"/>
    <w:pPr>
      <w:tabs>
        <w:tab w:val="center" w:pos="4320"/>
        <w:tab w:val="right" w:pos="8640"/>
      </w:tabs>
    </w:pPr>
  </w:style>
  <w:style w:type="character" w:customStyle="1" w:styleId="FooterChar">
    <w:name w:val="Footer Char"/>
    <w:basedOn w:val="DefaultParagraphFont"/>
    <w:link w:val="Footer"/>
    <w:rsid w:val="008B23DD"/>
    <w:rPr>
      <w:rFonts w:ascii="Times New Roman" w:eastAsia="Times New Roman" w:hAnsi="Times New Roman" w:cs="Times New Roman"/>
      <w:sz w:val="20"/>
      <w:szCs w:val="20"/>
    </w:rPr>
  </w:style>
  <w:style w:type="character" w:styleId="PageNumber">
    <w:name w:val="page number"/>
    <w:basedOn w:val="DefaultParagraphFont"/>
    <w:rsid w:val="008B23DD"/>
  </w:style>
  <w:style w:type="paragraph" w:styleId="Header">
    <w:name w:val="header"/>
    <w:basedOn w:val="Normal"/>
    <w:link w:val="HeaderChar"/>
    <w:rsid w:val="008B23DD"/>
    <w:pPr>
      <w:tabs>
        <w:tab w:val="center" w:pos="4320"/>
        <w:tab w:val="right" w:pos="8640"/>
      </w:tabs>
    </w:pPr>
  </w:style>
  <w:style w:type="character" w:customStyle="1" w:styleId="HeaderChar">
    <w:name w:val="Header Char"/>
    <w:basedOn w:val="DefaultParagraphFont"/>
    <w:link w:val="Header"/>
    <w:rsid w:val="008B23DD"/>
    <w:rPr>
      <w:rFonts w:ascii="Times New Roman" w:eastAsia="Times New Roman" w:hAnsi="Times New Roman" w:cs="Times New Roman"/>
      <w:sz w:val="20"/>
      <w:szCs w:val="20"/>
    </w:rPr>
  </w:style>
  <w:style w:type="table" w:styleId="TableGrid">
    <w:name w:val="Table Grid"/>
    <w:basedOn w:val="TableNormal"/>
    <w:rsid w:val="008B23D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6F4440"/>
  </w:style>
  <w:style w:type="character" w:customStyle="1" w:styleId="eop">
    <w:name w:val="eop"/>
    <w:basedOn w:val="DefaultParagraphFont"/>
    <w:rsid w:val="006F444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TableGrid1">
    <w:name w:val="Table Grid1"/>
    <w:basedOn w:val="TableNormal"/>
    <w:next w:val="TableGrid"/>
    <w:uiPriority w:val="39"/>
    <w:rsid w:val="007A4B22"/>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4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4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whq9MaZsZdwMYq24T1wFOjJ1kQ==">AMUW2mV/Dtv+wszLc6XsNPe6QYju5vouL72BRNIkLthcdXguzO46iBjRzghGZ9+eh3aiGBMdUW6lhQ0pQMxkFdUtJM3wmXzPYubHmVafpAziJWgG0OJ5rUpOwLWfJYS01uGbIModElEk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Lake Superior State University</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Berchem</dc:creator>
  <cp:lastModifiedBy>Sausha Tews</cp:lastModifiedBy>
  <cp:revision>2</cp:revision>
  <cp:lastPrinted>2025-10-16T13:08:00Z</cp:lastPrinted>
  <dcterms:created xsi:type="dcterms:W3CDTF">2025-11-13T15:02:00Z</dcterms:created>
  <dcterms:modified xsi:type="dcterms:W3CDTF">2025-11-13T15:02:00Z</dcterms:modified>
</cp:coreProperties>
</file>